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8C420" w14:textId="0C56BE55" w:rsidR="00303797" w:rsidRPr="00E402A8" w:rsidRDefault="00303797" w:rsidP="00303797">
      <w:pPr>
        <w:pStyle w:val="CRCoverPage"/>
        <w:tabs>
          <w:tab w:val="right" w:pos="9639"/>
        </w:tabs>
        <w:spacing w:after="0"/>
        <w:rPr>
          <w:b/>
          <w:i/>
          <w:noProof/>
          <w:sz w:val="28"/>
          <w:lang w:val="en-US"/>
        </w:rPr>
      </w:pPr>
      <w:bookmarkStart w:id="0" w:name="_Ref399006623"/>
      <w:bookmarkStart w:id="1" w:name="_Toc92513360"/>
      <w:r>
        <w:rPr>
          <w:b/>
          <w:noProof/>
          <w:sz w:val="24"/>
        </w:rPr>
        <w:t>3GPP TSG-RAN WG4 Meeting #84</w:t>
      </w:r>
      <w:r w:rsidRPr="00E402A8">
        <w:rPr>
          <w:b/>
          <w:i/>
          <w:noProof/>
          <w:sz w:val="28"/>
        </w:rPr>
        <w:tab/>
      </w:r>
      <w:r w:rsidR="003D5393" w:rsidRPr="003D5393">
        <w:rPr>
          <w:b/>
          <w:noProof/>
          <w:sz w:val="24"/>
        </w:rPr>
        <w:t>R4-1708505</w:t>
      </w:r>
    </w:p>
    <w:p w14:paraId="6198E36E" w14:textId="77777777" w:rsidR="00303797" w:rsidRDefault="00303797" w:rsidP="00303797">
      <w:pPr>
        <w:pStyle w:val="CRCoverPage"/>
        <w:outlineLvl w:val="0"/>
        <w:rPr>
          <w:b/>
          <w:noProof/>
          <w:sz w:val="24"/>
        </w:rPr>
      </w:pPr>
      <w:r>
        <w:rPr>
          <w:b/>
          <w:noProof/>
          <w:sz w:val="24"/>
        </w:rPr>
        <w:t>Berlin, Germany, 21 – 25, August, 2017</w:t>
      </w:r>
    </w:p>
    <w:p w14:paraId="4159CAB4" w14:textId="77777777" w:rsidR="00DC13E9" w:rsidRPr="00136F4F" w:rsidRDefault="00DC13E9" w:rsidP="00DC13E9">
      <w:pPr>
        <w:tabs>
          <w:tab w:val="left" w:pos="1985"/>
        </w:tabs>
        <w:spacing w:after="100" w:afterAutospacing="1"/>
        <w:jc w:val="both"/>
        <w:rPr>
          <w:b/>
          <w:noProof/>
          <w:sz w:val="24"/>
        </w:rPr>
      </w:pPr>
    </w:p>
    <w:p w14:paraId="2CC229C4" w14:textId="31927CD2"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E028BA" w:rsidRPr="00E028BA">
        <w:rPr>
          <w:rFonts w:ascii="Arial" w:hAnsi="Arial" w:cs="Arial"/>
          <w:sz w:val="22"/>
        </w:rPr>
        <w:t xml:space="preserve">Nokia, </w:t>
      </w:r>
      <w:r w:rsidR="00DA4D03">
        <w:rPr>
          <w:rFonts w:ascii="Arial" w:hAnsi="Arial" w:cs="Arial"/>
          <w:sz w:val="22"/>
        </w:rPr>
        <w:t>Nokia</w:t>
      </w:r>
      <w:r w:rsidR="00E028BA" w:rsidRPr="00E028BA">
        <w:rPr>
          <w:rFonts w:ascii="Arial" w:hAnsi="Arial" w:cs="Arial"/>
          <w:sz w:val="22"/>
        </w:rPr>
        <w:t xml:space="preserve"> Shanghai Bell</w:t>
      </w:r>
    </w:p>
    <w:p w14:paraId="2FC91DE5" w14:textId="15E9C6C1"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814ED4">
        <w:rPr>
          <w:rFonts w:ascii="Arial" w:hAnsi="Arial" w:cs="Arial"/>
          <w:sz w:val="22"/>
        </w:rPr>
        <w:t xml:space="preserve">On expected </w:t>
      </w:r>
      <w:r w:rsidR="00303797">
        <w:rPr>
          <w:rFonts w:ascii="Arial" w:hAnsi="Arial" w:cs="Arial"/>
          <w:sz w:val="22"/>
        </w:rPr>
        <w:t xml:space="preserve">impacts of </w:t>
      </w:r>
      <w:r w:rsidR="003A752B">
        <w:rPr>
          <w:rFonts w:ascii="Arial" w:hAnsi="Arial" w:cs="Arial"/>
          <w:sz w:val="22"/>
        </w:rPr>
        <w:t>EN-DC</w:t>
      </w:r>
      <w:r w:rsidR="00814ED4">
        <w:rPr>
          <w:rFonts w:ascii="Arial" w:hAnsi="Arial" w:cs="Arial"/>
          <w:sz w:val="22"/>
        </w:rPr>
        <w:t xml:space="preserve"> </w:t>
      </w:r>
      <w:r w:rsidR="00A04B7B">
        <w:rPr>
          <w:rFonts w:ascii="Arial" w:hAnsi="Arial" w:cs="Arial"/>
          <w:sz w:val="22"/>
        </w:rPr>
        <w:t>on</w:t>
      </w:r>
      <w:r w:rsidR="00814ED4">
        <w:rPr>
          <w:rFonts w:ascii="Arial" w:hAnsi="Arial" w:cs="Arial"/>
          <w:sz w:val="22"/>
        </w:rPr>
        <w:t xml:space="preserve"> 36.133</w:t>
      </w:r>
    </w:p>
    <w:p w14:paraId="518C9DED" w14:textId="1E4591F4" w:rsidR="00DC13E9" w:rsidRPr="00E64607"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9B4707">
        <w:rPr>
          <w:rFonts w:ascii="Arial" w:hAnsi="Arial" w:cs="Arial"/>
          <w:sz w:val="22"/>
        </w:rPr>
        <w:t>9.6.5</w:t>
      </w:r>
    </w:p>
    <w:p w14:paraId="1A936EBB" w14:textId="77777777"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14:paraId="250BC969" w14:textId="77777777" w:rsidR="008762D3" w:rsidRPr="003A752B" w:rsidRDefault="008762D3" w:rsidP="008762D3">
      <w:pPr>
        <w:pStyle w:val="Heading1"/>
        <w:numPr>
          <w:ilvl w:val="0"/>
          <w:numId w:val="1"/>
        </w:numPr>
        <w:tabs>
          <w:tab w:val="num" w:pos="45"/>
        </w:tabs>
        <w:ind w:left="405"/>
      </w:pPr>
      <w:r w:rsidRPr="003A752B">
        <w:t>Introduction</w:t>
      </w:r>
    </w:p>
    <w:p w14:paraId="4C235196" w14:textId="429035DD" w:rsidR="003A752B" w:rsidRDefault="003A752B" w:rsidP="00C912D7">
      <w:pPr>
        <w:spacing w:before="120" w:after="120"/>
        <w:rPr>
          <w:lang w:val="en-US"/>
        </w:rPr>
      </w:pPr>
      <w:r>
        <w:rPr>
          <w:lang w:val="en-US"/>
        </w:rPr>
        <w:t xml:space="preserve">In the Qingdao </w:t>
      </w:r>
      <w:r w:rsidR="009014FD">
        <w:rPr>
          <w:lang w:val="en-US"/>
        </w:rPr>
        <w:t xml:space="preserve">NR </w:t>
      </w:r>
      <w:r>
        <w:rPr>
          <w:lang w:val="en-US"/>
        </w:rPr>
        <w:t>ad hoc</w:t>
      </w:r>
      <w:r w:rsidR="009014FD">
        <w:rPr>
          <w:lang w:val="en-US"/>
        </w:rPr>
        <w:t>,</w:t>
      </w:r>
      <w:r>
        <w:rPr>
          <w:lang w:val="en-US"/>
        </w:rPr>
        <w:t xml:space="preserve"> discussion about the impacts of the support of </w:t>
      </w:r>
      <w:r w:rsidR="009014FD">
        <w:rPr>
          <w:lang w:val="en-US"/>
        </w:rPr>
        <w:t xml:space="preserve">EN-DC </w:t>
      </w:r>
      <w:r>
        <w:rPr>
          <w:lang w:val="en-US"/>
        </w:rPr>
        <w:t xml:space="preserve">(i.e. </w:t>
      </w:r>
      <w:r w:rsidR="009014FD">
        <w:rPr>
          <w:lang w:val="en-US"/>
        </w:rPr>
        <w:t>NSA NR option 3</w:t>
      </w:r>
      <w:r>
        <w:rPr>
          <w:lang w:val="en-US"/>
        </w:rPr>
        <w:t xml:space="preserve">) to 36.133 continued. Some agreements were reached </w:t>
      </w:r>
      <w:r w:rsidR="00DE4EC6">
        <w:rPr>
          <w:lang w:val="en-US"/>
        </w:rPr>
        <w:t>during the meeting and</w:t>
      </w:r>
      <w:r>
        <w:rPr>
          <w:lang w:val="en-US"/>
        </w:rPr>
        <w:t xml:space="preserve"> they were captured in a way forward [1]. The agreements </w:t>
      </w:r>
      <w:r w:rsidR="009014FD">
        <w:rPr>
          <w:lang w:val="en-US"/>
        </w:rPr>
        <w:t xml:space="preserve">captured in the way forward about the </w:t>
      </w:r>
      <w:r>
        <w:rPr>
          <w:lang w:val="en-US"/>
        </w:rPr>
        <w:t xml:space="preserve">EN-DC impacts to 36.133 </w:t>
      </w:r>
      <w:r w:rsidR="009014FD">
        <w:rPr>
          <w:lang w:val="en-US"/>
        </w:rPr>
        <w:t>are the following</w:t>
      </w:r>
      <w:r>
        <w:rPr>
          <w:lang w:val="en-US"/>
        </w:rPr>
        <w:t>:</w:t>
      </w:r>
    </w:p>
    <w:p w14:paraId="7C41FB72" w14:textId="77777777" w:rsidR="003A752B" w:rsidRPr="003D7701" w:rsidRDefault="003A752B" w:rsidP="003A752B">
      <w:pPr>
        <w:keepNext/>
        <w:keepLines/>
        <w:numPr>
          <w:ilvl w:val="1"/>
          <w:numId w:val="0"/>
        </w:numPr>
        <w:tabs>
          <w:tab w:val="num" w:pos="0"/>
        </w:tabs>
        <w:spacing w:before="180"/>
        <w:ind w:left="3464" w:hanging="1304"/>
        <w:outlineLvl w:val="1"/>
        <w:rPr>
          <w:rFonts w:ascii="Arial" w:hAnsi="Arial"/>
          <w:sz w:val="32"/>
        </w:rPr>
      </w:pPr>
      <w:r w:rsidRPr="007B3B39">
        <w:rPr>
          <w:rFonts w:ascii="Arial" w:hAnsi="Arial"/>
          <w:sz w:val="32"/>
        </w:rPr>
        <w:t>36.133</w:t>
      </w:r>
      <w:r w:rsidRPr="003D7701">
        <w:rPr>
          <w:rFonts w:ascii="Arial" w:hAnsi="Arial"/>
          <w:sz w:val="32"/>
        </w:rPr>
        <w:t xml:space="preserve"> expected impact from NSA</w:t>
      </w:r>
    </w:p>
    <w:p w14:paraId="0A583137" w14:textId="77777777" w:rsidR="003A752B" w:rsidRPr="003D7701" w:rsidRDefault="003A752B" w:rsidP="003A752B">
      <w:pPr>
        <w:spacing w:after="0"/>
        <w:ind w:left="913"/>
        <w:rPr>
          <w:rFonts w:ascii="Calibri" w:eastAsia="Malgun Gothic" w:hAnsi="Calibri"/>
          <w:sz w:val="22"/>
          <w:szCs w:val="22"/>
          <w:lang w:val="en-US" w:eastAsia="zh-CN"/>
        </w:rPr>
      </w:pPr>
      <w:r w:rsidRPr="003D7701">
        <w:rPr>
          <w:rFonts w:ascii="Calibri" w:eastAsia="Malgun Gothic" w:hAnsi="Calibri"/>
          <w:sz w:val="22"/>
          <w:szCs w:val="22"/>
          <w:lang w:val="en-US" w:eastAsia="zh-CN"/>
        </w:rPr>
        <w:t>Following was agreed:</w:t>
      </w:r>
    </w:p>
    <w:p w14:paraId="7464B490" w14:textId="77777777" w:rsidR="003A752B" w:rsidRPr="003D7701" w:rsidRDefault="003A752B" w:rsidP="003A752B">
      <w:pPr>
        <w:numPr>
          <w:ilvl w:val="0"/>
          <w:numId w:val="31"/>
        </w:numPr>
        <w:spacing w:after="0"/>
        <w:ind w:left="1333"/>
        <w:textAlignment w:val="auto"/>
        <w:rPr>
          <w:rFonts w:ascii="Calibri" w:eastAsia="Malgun Gothic" w:hAnsi="Calibri"/>
          <w:sz w:val="22"/>
          <w:szCs w:val="22"/>
          <w:lang w:val="en-US" w:eastAsia="zh-CN"/>
        </w:rPr>
      </w:pPr>
      <w:r w:rsidRPr="003D7701">
        <w:rPr>
          <w:rFonts w:ascii="Calibri" w:eastAsia="Malgun Gothic" w:hAnsi="Calibri"/>
          <w:sz w:val="22"/>
          <w:szCs w:val="22"/>
          <w:lang w:val="en-US" w:eastAsia="zh-CN"/>
        </w:rPr>
        <w:t>Inter-RAT NR measurement requirements should be introduced in TS36.133.</w:t>
      </w:r>
      <w:r w:rsidRPr="003D7701">
        <w:rPr>
          <w:rFonts w:ascii="Calibri" w:eastAsia="Malgun Gothic" w:hAnsi="Calibri"/>
          <w:sz w:val="22"/>
          <w:szCs w:val="22"/>
          <w:lang w:val="en-US" w:eastAsia="ko-KR"/>
        </w:rPr>
        <w:t xml:space="preserve"> </w:t>
      </w:r>
    </w:p>
    <w:p w14:paraId="566FF13F" w14:textId="77777777" w:rsidR="003A752B" w:rsidRPr="003D7701" w:rsidRDefault="003A752B" w:rsidP="003A752B">
      <w:pPr>
        <w:numPr>
          <w:ilvl w:val="1"/>
          <w:numId w:val="31"/>
        </w:numPr>
        <w:spacing w:after="0"/>
        <w:ind w:left="1753"/>
        <w:textAlignment w:val="auto"/>
        <w:rPr>
          <w:rFonts w:ascii="Calibri" w:eastAsia="Malgun Gothic" w:hAnsi="Calibri"/>
          <w:sz w:val="22"/>
          <w:szCs w:val="22"/>
          <w:lang w:val="en-US" w:eastAsia="zh-CN"/>
        </w:rPr>
      </w:pPr>
      <w:r w:rsidRPr="003D7701">
        <w:rPr>
          <w:rFonts w:ascii="Calibri" w:eastAsia="Malgun Gothic" w:hAnsi="Calibri"/>
          <w:sz w:val="22"/>
          <w:szCs w:val="22"/>
          <w:lang w:val="en-US" w:eastAsia="ko-KR"/>
        </w:rPr>
        <w:t>Further analysis is ne</w:t>
      </w:r>
      <w:r>
        <w:rPr>
          <w:rFonts w:ascii="Calibri" w:eastAsia="Malgun Gothic" w:hAnsi="Calibri"/>
          <w:sz w:val="22"/>
          <w:szCs w:val="22"/>
          <w:lang w:val="en-US" w:eastAsia="ko-KR"/>
        </w:rPr>
        <w:t>e</w:t>
      </w:r>
      <w:r w:rsidRPr="003D7701">
        <w:rPr>
          <w:rFonts w:ascii="Calibri" w:eastAsia="Malgun Gothic" w:hAnsi="Calibri"/>
          <w:sz w:val="22"/>
          <w:szCs w:val="22"/>
          <w:lang w:val="en-US" w:eastAsia="ko-KR"/>
        </w:rPr>
        <w:t xml:space="preserve">ded on </w:t>
      </w:r>
      <w:r w:rsidRPr="003D7701">
        <w:rPr>
          <w:rFonts w:ascii="Calibri" w:eastAsia="Malgun Gothic" w:hAnsi="Calibri"/>
          <w:sz w:val="22"/>
          <w:szCs w:val="22"/>
          <w:lang w:val="en-US" w:eastAsia="zh-CN"/>
        </w:rPr>
        <w:t xml:space="preserve">existing capability for measurement, event triggering and reporting criteria should be revisited. </w:t>
      </w:r>
    </w:p>
    <w:p w14:paraId="1F86DE52" w14:textId="77777777" w:rsidR="003A752B" w:rsidRPr="003D7701" w:rsidRDefault="003A752B" w:rsidP="003A752B">
      <w:pPr>
        <w:numPr>
          <w:ilvl w:val="0"/>
          <w:numId w:val="31"/>
        </w:numPr>
        <w:spacing w:after="0"/>
        <w:ind w:left="1333"/>
        <w:textAlignment w:val="auto"/>
        <w:rPr>
          <w:rFonts w:ascii="Calibri" w:eastAsia="Malgun Gothic" w:hAnsi="Calibri"/>
          <w:sz w:val="22"/>
          <w:szCs w:val="22"/>
          <w:lang w:val="en-US" w:eastAsia="zh-CN"/>
        </w:rPr>
      </w:pPr>
      <w:r w:rsidRPr="003D7701">
        <w:rPr>
          <w:rFonts w:ascii="Calibri" w:eastAsia="Malgun Gothic" w:hAnsi="Calibri"/>
          <w:sz w:val="22"/>
          <w:szCs w:val="22"/>
          <w:lang w:val="en-US" w:eastAsia="zh-CN"/>
        </w:rPr>
        <w:t>Inter-RAT NR measurement can be with gaps or without gaps from LTE side.</w:t>
      </w:r>
    </w:p>
    <w:p w14:paraId="140BC0DD" w14:textId="77777777" w:rsidR="003A752B" w:rsidRPr="003D7701" w:rsidRDefault="003A752B" w:rsidP="003A752B">
      <w:pPr>
        <w:numPr>
          <w:ilvl w:val="0"/>
          <w:numId w:val="31"/>
        </w:numPr>
        <w:spacing w:after="0"/>
        <w:ind w:left="1333"/>
        <w:textAlignment w:val="auto"/>
        <w:rPr>
          <w:rFonts w:ascii="Calibri" w:eastAsia="Malgun Gothic" w:hAnsi="Calibri"/>
          <w:sz w:val="22"/>
          <w:szCs w:val="22"/>
          <w:lang w:val="en-US" w:eastAsia="zh-CN"/>
        </w:rPr>
      </w:pPr>
      <w:r w:rsidRPr="003D7701">
        <w:rPr>
          <w:rFonts w:ascii="Calibri" w:eastAsia="Malgun Gothic" w:hAnsi="Calibri"/>
          <w:sz w:val="22"/>
          <w:szCs w:val="22"/>
          <w:lang w:val="en-US" w:eastAsia="zh-CN"/>
        </w:rPr>
        <w:t>Measurement accuracy and report mapping for NR reference signals should be introduced in TS36.133.</w:t>
      </w:r>
    </w:p>
    <w:p w14:paraId="21F2A64B" w14:textId="77777777" w:rsidR="003A752B" w:rsidRPr="003D7701" w:rsidRDefault="003A752B" w:rsidP="003A752B">
      <w:pPr>
        <w:numPr>
          <w:ilvl w:val="1"/>
          <w:numId w:val="33"/>
        </w:numPr>
        <w:spacing w:after="0"/>
        <w:ind w:left="1753"/>
        <w:textAlignment w:val="auto"/>
        <w:rPr>
          <w:rFonts w:ascii="Calibri" w:eastAsia="Malgun Gothic" w:hAnsi="Calibri"/>
          <w:sz w:val="22"/>
          <w:szCs w:val="22"/>
          <w:lang w:val="en-US" w:eastAsia="zh-CN"/>
        </w:rPr>
      </w:pPr>
      <w:r w:rsidRPr="003D7701">
        <w:rPr>
          <w:rFonts w:ascii="Calibri" w:eastAsia="Malgun Gothic" w:hAnsi="Calibri"/>
          <w:sz w:val="22"/>
          <w:szCs w:val="22"/>
          <w:lang w:val="en-US" w:eastAsia="zh-CN"/>
        </w:rPr>
        <w:t>Introduce the requirement by referring to inter-frequency measurement requirements TS38.133.</w:t>
      </w:r>
    </w:p>
    <w:p w14:paraId="74E25413" w14:textId="77777777" w:rsidR="003A752B" w:rsidRPr="003D7701" w:rsidRDefault="003A752B" w:rsidP="003A752B">
      <w:pPr>
        <w:numPr>
          <w:ilvl w:val="0"/>
          <w:numId w:val="31"/>
        </w:numPr>
        <w:spacing w:after="0"/>
        <w:ind w:left="1333"/>
        <w:textAlignment w:val="auto"/>
        <w:rPr>
          <w:rFonts w:ascii="Calibri" w:eastAsia="Malgun Gothic" w:hAnsi="Calibri"/>
          <w:sz w:val="22"/>
          <w:szCs w:val="22"/>
          <w:lang w:val="en-US" w:eastAsia="zh-CN"/>
        </w:rPr>
      </w:pPr>
      <w:r w:rsidRPr="003D7701">
        <w:rPr>
          <w:rFonts w:ascii="Calibri" w:eastAsia="Malgun Gothic" w:hAnsi="Calibri"/>
          <w:sz w:val="22"/>
          <w:szCs w:val="22"/>
          <w:lang w:val="en-US" w:eastAsia="zh-CN"/>
        </w:rPr>
        <w:t>The delay uncertainty for PRACH on PSCell should be checked from NR PRACH design.</w:t>
      </w:r>
    </w:p>
    <w:p w14:paraId="29C04C06" w14:textId="77777777" w:rsidR="003A752B" w:rsidRPr="003D7701" w:rsidRDefault="003A752B" w:rsidP="003A752B">
      <w:pPr>
        <w:numPr>
          <w:ilvl w:val="0"/>
          <w:numId w:val="31"/>
        </w:numPr>
        <w:spacing w:after="0"/>
        <w:ind w:left="1333"/>
        <w:textAlignment w:val="auto"/>
        <w:rPr>
          <w:rFonts w:ascii="Calibri" w:eastAsia="Malgun Gothic" w:hAnsi="Calibri"/>
          <w:sz w:val="22"/>
          <w:szCs w:val="22"/>
          <w:lang w:val="en-US" w:eastAsia="zh-CN"/>
        </w:rPr>
      </w:pPr>
      <w:r w:rsidRPr="003D7701">
        <w:rPr>
          <w:rFonts w:ascii="Calibri" w:eastAsia="Malgun Gothic" w:hAnsi="Calibri"/>
          <w:sz w:val="22"/>
          <w:szCs w:val="22"/>
          <w:lang w:val="en-US" w:eastAsia="zh-CN"/>
        </w:rPr>
        <w:t>The existing interruption requirements for E-UTRAN PSCell addition/release in TS36.133 could be used as baseline for NR PSCell addition/release in NSA scenario.</w:t>
      </w:r>
    </w:p>
    <w:p w14:paraId="5131440A" w14:textId="77777777" w:rsidR="003A752B" w:rsidRPr="003D7701" w:rsidRDefault="003A752B" w:rsidP="003A752B">
      <w:pPr>
        <w:numPr>
          <w:ilvl w:val="1"/>
          <w:numId w:val="32"/>
        </w:numPr>
        <w:spacing w:after="0"/>
        <w:ind w:left="1753"/>
        <w:textAlignment w:val="auto"/>
        <w:rPr>
          <w:rFonts w:ascii="Calibri" w:eastAsia="Malgun Gothic" w:hAnsi="Calibri"/>
          <w:sz w:val="22"/>
          <w:szCs w:val="22"/>
          <w:lang w:val="en-US" w:eastAsia="zh-CN"/>
        </w:rPr>
      </w:pPr>
      <w:r w:rsidRPr="003D7701">
        <w:rPr>
          <w:rFonts w:ascii="Calibri" w:eastAsia="Malgun Gothic" w:hAnsi="Calibri"/>
          <w:sz w:val="22"/>
          <w:szCs w:val="22"/>
          <w:lang w:val="en-US" w:eastAsia="zh-CN"/>
        </w:rPr>
        <w:t>The number for the requirements need further study</w:t>
      </w:r>
    </w:p>
    <w:p w14:paraId="6A0C26DF" w14:textId="77777777" w:rsidR="003A752B" w:rsidRPr="003D7701" w:rsidRDefault="003A752B" w:rsidP="003A752B">
      <w:pPr>
        <w:numPr>
          <w:ilvl w:val="1"/>
          <w:numId w:val="32"/>
        </w:numPr>
        <w:spacing w:after="0"/>
        <w:ind w:left="1753"/>
        <w:textAlignment w:val="auto"/>
        <w:rPr>
          <w:rFonts w:ascii="Calibri" w:eastAsia="Malgun Gothic" w:hAnsi="Calibri"/>
          <w:sz w:val="22"/>
          <w:szCs w:val="22"/>
          <w:lang w:val="en-US" w:eastAsia="zh-CN"/>
        </w:rPr>
      </w:pPr>
      <w:r w:rsidRPr="003D7701">
        <w:rPr>
          <w:rFonts w:ascii="Calibri" w:eastAsia="Malgun Gothic" w:hAnsi="Calibri"/>
          <w:sz w:val="22"/>
          <w:szCs w:val="22"/>
          <w:lang w:val="en-US" w:eastAsia="zh-CN"/>
        </w:rPr>
        <w:t>The interruption depends on the UE architecture.</w:t>
      </w:r>
    </w:p>
    <w:p w14:paraId="6F3C20C9" w14:textId="77777777" w:rsidR="003A752B" w:rsidRPr="003A752B" w:rsidRDefault="003A752B" w:rsidP="003A752B">
      <w:pPr>
        <w:keepNext/>
        <w:keepLines/>
        <w:spacing w:before="180"/>
        <w:ind w:left="913"/>
        <w:outlineLvl w:val="1"/>
        <w:rPr>
          <w:rFonts w:ascii="Arial" w:hAnsi="Arial"/>
          <w:sz w:val="20"/>
          <w:lang w:eastAsia="zh-CN"/>
        </w:rPr>
      </w:pPr>
      <w:r w:rsidRPr="003A752B">
        <w:rPr>
          <w:rFonts w:ascii="Arial" w:hAnsi="Arial"/>
          <w:sz w:val="20"/>
          <w:lang w:eastAsia="zh-CN"/>
        </w:rPr>
        <w:t>Interested companies are invited to investigate further details regarding the topics.</w:t>
      </w:r>
    </w:p>
    <w:p w14:paraId="7EAC8E86" w14:textId="19D964E5" w:rsidR="003A752B" w:rsidRPr="003A752B" w:rsidRDefault="003A752B" w:rsidP="00C912D7">
      <w:pPr>
        <w:spacing w:before="120" w:after="120"/>
      </w:pPr>
      <w:r>
        <w:t>In this contribution</w:t>
      </w:r>
      <w:r w:rsidR="007F6215">
        <w:t>,</w:t>
      </w:r>
      <w:r>
        <w:t xml:space="preserve"> we continue the discussion about the open issues.</w:t>
      </w:r>
    </w:p>
    <w:p w14:paraId="1F6A4D43" w14:textId="77777777" w:rsidR="00A50D08" w:rsidRPr="00A50D08" w:rsidRDefault="008762D3" w:rsidP="00A50D08">
      <w:pPr>
        <w:pStyle w:val="Heading1"/>
        <w:numPr>
          <w:ilvl w:val="0"/>
          <w:numId w:val="1"/>
        </w:numPr>
        <w:tabs>
          <w:tab w:val="num" w:pos="45"/>
        </w:tabs>
        <w:ind w:left="405"/>
      </w:pPr>
      <w:r>
        <w:t>Discussion</w:t>
      </w:r>
    </w:p>
    <w:p w14:paraId="0A5E6DE0" w14:textId="3CE19F35" w:rsidR="00AB4F6D" w:rsidRPr="00C73565" w:rsidRDefault="00C73565" w:rsidP="00C73565">
      <w:pPr>
        <w:pStyle w:val="Heading8"/>
        <w:numPr>
          <w:ilvl w:val="0"/>
          <w:numId w:val="0"/>
        </w:numPr>
        <w:ind w:left="1440" w:hanging="1440"/>
        <w:rPr>
          <w:lang w:val="en-US"/>
        </w:rPr>
      </w:pPr>
      <w:r>
        <w:rPr>
          <w:lang w:val="en-US"/>
        </w:rPr>
        <w:t xml:space="preserve">2.1 </w:t>
      </w:r>
      <w:r w:rsidR="008069C6">
        <w:rPr>
          <w:lang w:val="en-US"/>
        </w:rPr>
        <w:t xml:space="preserve">TS 36.133 </w:t>
      </w:r>
      <w:r w:rsidR="008069C6" w:rsidRPr="00DE4EC6">
        <w:rPr>
          <w:lang w:val="en-US"/>
        </w:rPr>
        <w:t>s</w:t>
      </w:r>
      <w:r w:rsidRPr="00DE4EC6">
        <w:rPr>
          <w:lang w:val="en-US"/>
        </w:rPr>
        <w:t xml:space="preserve">ections </w:t>
      </w:r>
      <w:r w:rsidR="00DE4EC6" w:rsidRPr="00DE4EC6">
        <w:rPr>
          <w:lang w:val="en-US"/>
        </w:rPr>
        <w:t xml:space="preserve">with </w:t>
      </w:r>
      <w:r w:rsidR="00DE4EC6" w:rsidRPr="00DE4EC6">
        <w:rPr>
          <w:i/>
          <w:lang w:val="en-US"/>
        </w:rPr>
        <w:t>no</w:t>
      </w:r>
      <w:r w:rsidR="00DE4EC6" w:rsidRPr="00DE4EC6">
        <w:rPr>
          <w:lang w:val="en-US"/>
        </w:rPr>
        <w:t xml:space="preserve"> expected impact</w:t>
      </w:r>
    </w:p>
    <w:p w14:paraId="5C344381" w14:textId="5DE3A3C6" w:rsidR="00C73565" w:rsidRPr="00C73565" w:rsidRDefault="00AB4F6D" w:rsidP="00CE0438">
      <w:pPr>
        <w:spacing w:before="120" w:after="120"/>
        <w:rPr>
          <w:lang w:val="en-US"/>
        </w:rPr>
      </w:pPr>
      <w:r w:rsidRPr="00C73565">
        <w:rPr>
          <w:lang w:val="en-US"/>
        </w:rPr>
        <w:t>As we already dis</w:t>
      </w:r>
      <w:r w:rsidR="00DE4EC6">
        <w:rPr>
          <w:lang w:val="en-US"/>
        </w:rPr>
        <w:t>cussed in our last meeting contribution</w:t>
      </w:r>
      <w:r w:rsidRPr="00C73565">
        <w:rPr>
          <w:lang w:val="en-US"/>
        </w:rPr>
        <w:t xml:space="preserve"> [</w:t>
      </w:r>
      <w:r w:rsidR="00A12982">
        <w:rPr>
          <w:lang w:val="en-US"/>
        </w:rPr>
        <w:t>2</w:t>
      </w:r>
      <w:r w:rsidRPr="00C73565">
        <w:rPr>
          <w:lang w:val="en-US"/>
        </w:rPr>
        <w:t>]</w:t>
      </w:r>
      <w:r w:rsidR="00C73565" w:rsidRPr="00C73565">
        <w:rPr>
          <w:lang w:val="en-US"/>
        </w:rPr>
        <w:t>, we do not see any impact on sections 4, 5, 6, 10, 11, 12 and 13 due to the introduction of EN-DC. As there was no agreement on this</w:t>
      </w:r>
      <w:r w:rsidR="00A12982">
        <w:rPr>
          <w:lang w:val="en-US"/>
        </w:rPr>
        <w:t xml:space="preserve"> in the last meeting</w:t>
      </w:r>
      <w:r w:rsidR="00C73565" w:rsidRPr="00C73565">
        <w:rPr>
          <w:lang w:val="en-US"/>
        </w:rPr>
        <w:t>, we will repeat the discussion about these sections here.</w:t>
      </w:r>
    </w:p>
    <w:p w14:paraId="133207AF" w14:textId="77777777" w:rsidR="00E83304" w:rsidRPr="00C73565" w:rsidRDefault="00E83304" w:rsidP="00CE0438">
      <w:pPr>
        <w:spacing w:before="120" w:after="120"/>
        <w:rPr>
          <w:sz w:val="26"/>
          <w:szCs w:val="26"/>
          <w:u w:val="single"/>
          <w:lang w:val="en-US"/>
        </w:rPr>
      </w:pPr>
      <w:r w:rsidRPr="00C73565">
        <w:rPr>
          <w:sz w:val="26"/>
          <w:szCs w:val="26"/>
          <w:u w:val="single"/>
          <w:lang w:val="en-US"/>
        </w:rPr>
        <w:t>Section 4</w:t>
      </w:r>
    </w:p>
    <w:p w14:paraId="015D804C" w14:textId="77777777" w:rsidR="00E83304" w:rsidRPr="00C73565" w:rsidRDefault="00AB3721" w:rsidP="00CE0438">
      <w:pPr>
        <w:spacing w:before="120" w:after="120"/>
        <w:rPr>
          <w:lang w:val="en-US"/>
        </w:rPr>
      </w:pPr>
      <w:r w:rsidRPr="00C73565">
        <w:rPr>
          <w:lang w:val="en-US"/>
        </w:rPr>
        <w:t xml:space="preserve">Section 4 is specifying </w:t>
      </w:r>
      <w:r w:rsidR="00E83304" w:rsidRPr="00C73565">
        <w:rPr>
          <w:lang w:val="en-US"/>
        </w:rPr>
        <w:t xml:space="preserve">LTE </w:t>
      </w:r>
      <w:r w:rsidRPr="00C73565">
        <w:rPr>
          <w:lang w:val="en-US"/>
        </w:rPr>
        <w:t xml:space="preserve">idle mode </w:t>
      </w:r>
      <w:r w:rsidR="00E83304" w:rsidRPr="00C73565">
        <w:rPr>
          <w:lang w:val="en-US"/>
        </w:rPr>
        <w:t xml:space="preserve">requirements, and clearly there will be no impact since support of NSA with LTE-NR DC is only for connected mode. </w:t>
      </w:r>
    </w:p>
    <w:p w14:paraId="7B0F8E2A" w14:textId="77777777" w:rsidR="00E83304" w:rsidRPr="00C73565" w:rsidRDefault="00E83304" w:rsidP="00CE0438">
      <w:pPr>
        <w:spacing w:before="120" w:after="120"/>
        <w:rPr>
          <w:sz w:val="26"/>
          <w:szCs w:val="26"/>
          <w:u w:val="single"/>
          <w:lang w:val="en-US"/>
        </w:rPr>
      </w:pPr>
      <w:r w:rsidRPr="00C73565">
        <w:rPr>
          <w:sz w:val="26"/>
          <w:szCs w:val="26"/>
          <w:u w:val="single"/>
          <w:lang w:val="en-US"/>
        </w:rPr>
        <w:t>Section 5 and 6</w:t>
      </w:r>
    </w:p>
    <w:p w14:paraId="1ECDE80F" w14:textId="52086C3E" w:rsidR="00AB3721" w:rsidRPr="00C73565" w:rsidRDefault="00E83304" w:rsidP="00CE0438">
      <w:pPr>
        <w:spacing w:before="120" w:after="120"/>
        <w:rPr>
          <w:lang w:val="en-US"/>
        </w:rPr>
      </w:pPr>
      <w:r w:rsidRPr="00C73565">
        <w:rPr>
          <w:lang w:val="en-US"/>
        </w:rPr>
        <w:t>Section 5 and 6 are specifying LTE mobility related requirements, e.g. HO, RACH, RRC re-establishment, etc. As with NSA</w:t>
      </w:r>
      <w:r w:rsidR="006228B5" w:rsidRPr="00C73565">
        <w:rPr>
          <w:lang w:val="en-US"/>
        </w:rPr>
        <w:t>,</w:t>
      </w:r>
      <w:r w:rsidRPr="00C73565">
        <w:rPr>
          <w:lang w:val="en-US"/>
        </w:rPr>
        <w:t xml:space="preserve"> LTE is always the MN, and based on RAN2 agreement MN mobility is fully up to MN, there will be no impact due to additional SN in LTE-NR DC. On the other hand, with NSA</w:t>
      </w:r>
      <w:r w:rsidR="0070439C" w:rsidRPr="00C73565">
        <w:rPr>
          <w:lang w:val="en-US"/>
        </w:rPr>
        <w:t>,</w:t>
      </w:r>
      <w:r w:rsidRPr="00C73565">
        <w:rPr>
          <w:lang w:val="en-US"/>
        </w:rPr>
        <w:t xml:space="preserve"> NR is always the SN, so such </w:t>
      </w:r>
      <w:r w:rsidRPr="00C73565">
        <w:rPr>
          <w:lang w:val="en-US"/>
        </w:rPr>
        <w:lastRenderedPageBreak/>
        <w:t>procedures like HO from LTE to NR, or RRC connection release with redirect to NR, are not considered. Therefore, we can conclude that section 5 and 6 are not impacted by support of NSA.</w:t>
      </w:r>
    </w:p>
    <w:p w14:paraId="3CC25E7B" w14:textId="77777777" w:rsidR="00C73565" w:rsidRPr="00C73565" w:rsidRDefault="00C73565" w:rsidP="00C73565">
      <w:pPr>
        <w:spacing w:before="120" w:after="120"/>
        <w:rPr>
          <w:sz w:val="24"/>
          <w:szCs w:val="24"/>
          <w:u w:val="single"/>
          <w:lang w:val="en-US"/>
        </w:rPr>
      </w:pPr>
      <w:r w:rsidRPr="00C73565">
        <w:rPr>
          <w:sz w:val="24"/>
          <w:szCs w:val="24"/>
          <w:u w:val="single"/>
          <w:lang w:val="en-US"/>
        </w:rPr>
        <w:t>Section 10</w:t>
      </w:r>
    </w:p>
    <w:p w14:paraId="07AF57F9" w14:textId="35B1664E" w:rsidR="00C73565" w:rsidRPr="00C73565" w:rsidRDefault="00C73565" w:rsidP="00C73565">
      <w:pPr>
        <w:spacing w:before="120" w:after="120"/>
        <w:rPr>
          <w:lang w:val="en-US"/>
        </w:rPr>
      </w:pPr>
      <w:r w:rsidRPr="00C73565">
        <w:rPr>
          <w:lang w:val="en-US"/>
        </w:rPr>
        <w:t xml:space="preserve">Section 10 contains LTE eNB measurement requirements. In our understanding, all those measurements are all LTE operation </w:t>
      </w:r>
      <w:r w:rsidR="00DE4EC6">
        <w:rPr>
          <w:lang w:val="en-US"/>
        </w:rPr>
        <w:t>and have</w:t>
      </w:r>
      <w:r w:rsidRPr="00C73565">
        <w:rPr>
          <w:lang w:val="en-US"/>
        </w:rPr>
        <w:t xml:space="preserve"> nothing to do with NR PSCell or SCell, so there should be no impact due to support of NSA.</w:t>
      </w:r>
    </w:p>
    <w:p w14:paraId="6CCEA347" w14:textId="77777777" w:rsidR="00C73565" w:rsidRPr="00C73565" w:rsidRDefault="00C73565" w:rsidP="00C73565">
      <w:pPr>
        <w:spacing w:before="120" w:after="120"/>
        <w:rPr>
          <w:sz w:val="24"/>
          <w:szCs w:val="24"/>
          <w:u w:val="single"/>
          <w:lang w:val="en-US"/>
        </w:rPr>
      </w:pPr>
      <w:r w:rsidRPr="00C73565">
        <w:rPr>
          <w:sz w:val="24"/>
          <w:szCs w:val="24"/>
          <w:u w:val="single"/>
          <w:lang w:val="en-US"/>
        </w:rPr>
        <w:t>Section 11, 12 and 13</w:t>
      </w:r>
    </w:p>
    <w:p w14:paraId="4E5AC0FF" w14:textId="77777777" w:rsidR="00C73565" w:rsidRPr="00C73565" w:rsidRDefault="00C73565" w:rsidP="00C73565">
      <w:pPr>
        <w:spacing w:before="120" w:after="120"/>
        <w:rPr>
          <w:lang w:val="en-US"/>
        </w:rPr>
      </w:pPr>
      <w:r w:rsidRPr="00C73565">
        <w:rPr>
          <w:lang w:val="en-US"/>
        </w:rPr>
        <w:t>Those 3 sections contain UE requirements for D2D and V2X. They are out of scope of NSA in Rel-15, so there should be no impact to them.</w:t>
      </w:r>
    </w:p>
    <w:p w14:paraId="0AAAC730" w14:textId="5A38EFE0" w:rsidR="00C73565" w:rsidRPr="00C73565" w:rsidRDefault="00C73565" w:rsidP="00C73565">
      <w:pPr>
        <w:spacing w:before="120" w:after="120"/>
        <w:rPr>
          <w:b/>
        </w:rPr>
      </w:pPr>
      <w:r w:rsidRPr="00C73565">
        <w:rPr>
          <w:b/>
        </w:rPr>
        <w:t xml:space="preserve">Proposal </w:t>
      </w:r>
      <w:r w:rsidR="008069C6">
        <w:rPr>
          <w:b/>
        </w:rPr>
        <w:t>1</w:t>
      </w:r>
      <w:r w:rsidRPr="00C73565">
        <w:rPr>
          <w:b/>
        </w:rPr>
        <w:t>: There is no impact the following RRM requirements in supporting NSA</w:t>
      </w:r>
    </w:p>
    <w:p w14:paraId="54A83A07" w14:textId="77777777" w:rsidR="00C73565" w:rsidRPr="00C73565" w:rsidRDefault="00C73565" w:rsidP="00C73565">
      <w:pPr>
        <w:numPr>
          <w:ilvl w:val="0"/>
          <w:numId w:val="30"/>
        </w:numPr>
        <w:spacing w:before="120" w:after="120"/>
        <w:rPr>
          <w:b/>
        </w:rPr>
      </w:pPr>
      <w:r w:rsidRPr="00C73565">
        <w:rPr>
          <w:b/>
        </w:rPr>
        <w:t>Section 4, 5, 6, 10, 11, 12 and 13</w:t>
      </w:r>
    </w:p>
    <w:p w14:paraId="72265A2E" w14:textId="381763C4" w:rsidR="00C73565" w:rsidRDefault="00C73565" w:rsidP="00CE0438">
      <w:pPr>
        <w:spacing w:before="120" w:after="120"/>
      </w:pPr>
    </w:p>
    <w:p w14:paraId="745B2E9E" w14:textId="11F974DB" w:rsidR="00C73565" w:rsidRDefault="00C73565" w:rsidP="00CE0438">
      <w:pPr>
        <w:spacing w:before="120" w:after="120"/>
      </w:pPr>
      <w:r w:rsidRPr="00C73565">
        <w:rPr>
          <w:rFonts w:ascii="Arial" w:hAnsi="Arial"/>
          <w:sz w:val="28"/>
          <w:lang w:val="en-US" w:eastAsia="x-none"/>
        </w:rPr>
        <w:t xml:space="preserve">2.2 </w:t>
      </w:r>
      <w:r w:rsidR="008069C6">
        <w:rPr>
          <w:rFonts w:ascii="Arial" w:hAnsi="Arial"/>
          <w:sz w:val="28"/>
          <w:lang w:val="en-US" w:eastAsia="x-none"/>
        </w:rPr>
        <w:t>TS 36.133 s</w:t>
      </w:r>
      <w:r w:rsidRPr="00C73565">
        <w:rPr>
          <w:rFonts w:ascii="Arial" w:hAnsi="Arial"/>
          <w:sz w:val="28"/>
          <w:lang w:val="en-US" w:eastAsia="x-none"/>
        </w:rPr>
        <w:t xml:space="preserve">ections </w:t>
      </w:r>
      <w:r w:rsidR="00DE4EC6">
        <w:rPr>
          <w:rFonts w:ascii="Arial" w:hAnsi="Arial"/>
          <w:sz w:val="28"/>
          <w:lang w:val="en-US" w:eastAsia="x-none"/>
        </w:rPr>
        <w:t>with expected impact</w:t>
      </w:r>
    </w:p>
    <w:p w14:paraId="6788825C" w14:textId="163E58E0" w:rsidR="00C73565" w:rsidRPr="00C73565" w:rsidRDefault="00C73565" w:rsidP="00CE0438">
      <w:pPr>
        <w:spacing w:before="120" w:after="120"/>
      </w:pPr>
      <w:r>
        <w:t xml:space="preserve">For sections 7, 8 and 9 we expect to see many impacts because of the addition of EN-DC support, and some of these impacts were already agreed to be </w:t>
      </w:r>
      <w:r w:rsidR="00A06C43">
        <w:t xml:space="preserve">included and </w:t>
      </w:r>
      <w:r>
        <w:t xml:space="preserve">discussed further in the WF. Here we continue the discussion about </w:t>
      </w:r>
      <w:r w:rsidR="00A06C43">
        <w:t>these</w:t>
      </w:r>
      <w:r>
        <w:t xml:space="preserve"> sections.</w:t>
      </w:r>
    </w:p>
    <w:p w14:paraId="5C4C3DC5" w14:textId="77777777" w:rsidR="00965252" w:rsidRPr="006F478A" w:rsidRDefault="00E83304" w:rsidP="00CE0438">
      <w:pPr>
        <w:spacing w:before="120" w:after="120"/>
        <w:rPr>
          <w:sz w:val="26"/>
          <w:szCs w:val="26"/>
          <w:u w:val="single"/>
          <w:lang w:val="en-US"/>
        </w:rPr>
      </w:pPr>
      <w:r w:rsidRPr="006F478A">
        <w:rPr>
          <w:sz w:val="26"/>
          <w:szCs w:val="26"/>
          <w:u w:val="single"/>
          <w:lang w:val="en-US"/>
        </w:rPr>
        <w:t>Section 7</w:t>
      </w:r>
    </w:p>
    <w:p w14:paraId="73EAA2DA" w14:textId="3E95947C" w:rsidR="00CE7503" w:rsidRPr="006F478A" w:rsidRDefault="00CE7503" w:rsidP="00E83304">
      <w:pPr>
        <w:spacing w:before="120" w:after="120"/>
        <w:rPr>
          <w:lang w:val="en-US"/>
        </w:rPr>
      </w:pPr>
      <w:r w:rsidRPr="006F478A">
        <w:rPr>
          <w:lang w:val="en-US"/>
        </w:rPr>
        <w:t>Section 7 contains a lot of RRM requirements</w:t>
      </w:r>
      <w:r w:rsidR="0070439C" w:rsidRPr="006F478A">
        <w:rPr>
          <w:lang w:val="en-US"/>
        </w:rPr>
        <w:t xml:space="preserve">, and as we already discussed in the last </w:t>
      </w:r>
      <w:r w:rsidR="0070439C" w:rsidRPr="00A12982">
        <w:rPr>
          <w:lang w:val="en-US"/>
        </w:rPr>
        <w:t>meeting in [2],</w:t>
      </w:r>
      <w:r w:rsidR="0070439C" w:rsidRPr="006F478A">
        <w:rPr>
          <w:lang w:val="en-US"/>
        </w:rPr>
        <w:t xml:space="preserve"> some of the requirements are clearly related to LTE and can remain unchanged when introducing </w:t>
      </w:r>
      <w:r w:rsidR="0064264F">
        <w:rPr>
          <w:lang w:val="en-US"/>
        </w:rPr>
        <w:t>EN-DC</w:t>
      </w:r>
      <w:r w:rsidRPr="006F478A">
        <w:rPr>
          <w:lang w:val="en-US"/>
        </w:rPr>
        <w:t xml:space="preserve">. One part is the LTE UE timing related requirements, which </w:t>
      </w:r>
      <w:r w:rsidR="00A06C43">
        <w:rPr>
          <w:lang w:val="en-US"/>
        </w:rPr>
        <w:t>are</w:t>
      </w:r>
      <w:r w:rsidRPr="006F478A">
        <w:rPr>
          <w:lang w:val="en-US"/>
        </w:rPr>
        <w:t xml:space="preserve"> clearly not relevant with </w:t>
      </w:r>
      <w:r w:rsidR="0064264F">
        <w:rPr>
          <w:lang w:val="en-US"/>
        </w:rPr>
        <w:t>EN-DC</w:t>
      </w:r>
      <w:r w:rsidRPr="006F478A">
        <w:rPr>
          <w:lang w:val="en-US"/>
        </w:rPr>
        <w:t xml:space="preserve"> support. Another part is the RLM requirements, which is also not going to be impacted by </w:t>
      </w:r>
      <w:r w:rsidR="0064264F">
        <w:rPr>
          <w:lang w:val="en-US"/>
        </w:rPr>
        <w:t>EN-DC</w:t>
      </w:r>
      <w:r w:rsidRPr="006F478A">
        <w:rPr>
          <w:lang w:val="en-US"/>
        </w:rPr>
        <w:t xml:space="preserve"> support as </w:t>
      </w:r>
      <w:r w:rsidR="00086BA4" w:rsidRPr="006F478A">
        <w:rPr>
          <w:lang w:val="en-US"/>
        </w:rPr>
        <w:t xml:space="preserve">it </w:t>
      </w:r>
      <w:r w:rsidRPr="006F478A">
        <w:rPr>
          <w:lang w:val="en-US"/>
        </w:rPr>
        <w:t>is about MN mobility.</w:t>
      </w:r>
      <w:r w:rsidR="00883CEF" w:rsidRPr="006F478A">
        <w:rPr>
          <w:lang w:val="en-US"/>
        </w:rPr>
        <w:t xml:space="preserve"> Also the part for CA requirements should be unchanged, as LTE CA within MN is not impacted by the SN, and N</w:t>
      </w:r>
      <w:r w:rsidR="003A7F41" w:rsidRPr="006F478A">
        <w:rPr>
          <w:lang w:val="en-US"/>
        </w:rPr>
        <w:t>R</w:t>
      </w:r>
      <w:r w:rsidR="00883CEF" w:rsidRPr="006F478A">
        <w:rPr>
          <w:lang w:val="en-US"/>
        </w:rPr>
        <w:t xml:space="preserve"> CA within SN will be handled in 38.133.</w:t>
      </w:r>
    </w:p>
    <w:p w14:paraId="0B7681CE" w14:textId="3EB38E77" w:rsidR="00086BA4" w:rsidRPr="006F478A" w:rsidRDefault="006F478A" w:rsidP="00E83304">
      <w:pPr>
        <w:spacing w:before="120" w:after="120"/>
        <w:rPr>
          <w:lang w:val="en-US"/>
        </w:rPr>
      </w:pPr>
      <w:r w:rsidRPr="006F478A">
        <w:rPr>
          <w:lang w:val="en-US"/>
        </w:rPr>
        <w:t>Some requirements related to LTE DC will need updates when introducing EN-DC. In the following we discuss these requirements.</w:t>
      </w:r>
    </w:p>
    <w:p w14:paraId="096D4872" w14:textId="577215F9" w:rsidR="006F478A" w:rsidRPr="006F478A" w:rsidRDefault="006F478A" w:rsidP="00C73565">
      <w:pPr>
        <w:spacing w:before="120" w:after="120"/>
        <w:ind w:left="284"/>
        <w:rPr>
          <w:u w:val="single"/>
          <w:lang w:val="en-US"/>
        </w:rPr>
      </w:pPr>
      <w:r w:rsidRPr="006F478A">
        <w:rPr>
          <w:u w:val="single"/>
          <w:lang w:val="en-US"/>
        </w:rPr>
        <w:t>Interruption with DC</w:t>
      </w:r>
    </w:p>
    <w:p w14:paraId="538BA7FE" w14:textId="0B6E3D01" w:rsidR="0070439C" w:rsidRPr="006F478A" w:rsidRDefault="006F478A" w:rsidP="00A06C43">
      <w:pPr>
        <w:spacing w:before="120" w:after="120"/>
        <w:ind w:left="284"/>
        <w:rPr>
          <w:rFonts w:ascii="Calibri" w:eastAsia="Malgun Gothic" w:hAnsi="Calibri"/>
          <w:sz w:val="22"/>
          <w:szCs w:val="22"/>
          <w:lang w:val="en-US" w:eastAsia="zh-CN"/>
        </w:rPr>
      </w:pPr>
      <w:r w:rsidRPr="006F478A">
        <w:rPr>
          <w:lang w:val="en-US"/>
        </w:rPr>
        <w:t>Interruption with DC includes</w:t>
      </w:r>
      <w:r w:rsidR="00086BA4" w:rsidRPr="006F478A">
        <w:rPr>
          <w:lang w:val="en-US"/>
        </w:rPr>
        <w:t xml:space="preserve"> interruption for PSCell addition/release, SCell (in SCG) addition/release and activation/deactivation, SCC (in SCG) measurement, inde</w:t>
      </w:r>
      <w:r w:rsidR="0070439C" w:rsidRPr="006F478A">
        <w:rPr>
          <w:lang w:val="en-US"/>
        </w:rPr>
        <w:t xml:space="preserve">pendent DRX, and SRS switching. </w:t>
      </w:r>
    </w:p>
    <w:p w14:paraId="5399CDFC" w14:textId="77777777" w:rsidR="00A06C43" w:rsidRDefault="0070439C" w:rsidP="00C73565">
      <w:pPr>
        <w:spacing w:before="120" w:after="120"/>
        <w:ind w:left="284"/>
        <w:rPr>
          <w:lang w:val="en-US"/>
        </w:rPr>
      </w:pPr>
      <w:r w:rsidRPr="006F478A">
        <w:rPr>
          <w:lang w:val="en-US"/>
        </w:rPr>
        <w:t>As the agreement</w:t>
      </w:r>
      <w:r w:rsidR="00A06C43">
        <w:rPr>
          <w:lang w:val="en-US"/>
        </w:rPr>
        <w:t>s</w:t>
      </w:r>
      <w:r w:rsidRPr="006F478A">
        <w:rPr>
          <w:lang w:val="en-US"/>
        </w:rPr>
        <w:t xml:space="preserve"> </w:t>
      </w:r>
      <w:r w:rsidR="00A06C43">
        <w:rPr>
          <w:lang w:val="en-US"/>
        </w:rPr>
        <w:t>also captured in the way forward state</w:t>
      </w:r>
      <w:r w:rsidRPr="006F478A">
        <w:rPr>
          <w:lang w:val="en-US"/>
        </w:rPr>
        <w:t>, interruption requirements are needed for EN-DC, and the existing LTE DC requirem</w:t>
      </w:r>
      <w:r w:rsidR="006F478A" w:rsidRPr="006F478A">
        <w:rPr>
          <w:lang w:val="en-US"/>
        </w:rPr>
        <w:t xml:space="preserve">ents can be used as baseline. </w:t>
      </w:r>
    </w:p>
    <w:p w14:paraId="5C5E7202" w14:textId="25CA0E78" w:rsidR="00CE7503" w:rsidRDefault="006F478A" w:rsidP="00C73565">
      <w:pPr>
        <w:spacing w:before="120" w:after="120"/>
        <w:ind w:left="284"/>
        <w:rPr>
          <w:lang w:val="en-US"/>
        </w:rPr>
      </w:pPr>
      <w:r w:rsidRPr="006F478A">
        <w:rPr>
          <w:lang w:val="en-US"/>
        </w:rPr>
        <w:t xml:space="preserve">For the same UE RF architecture between NR and LTE, we think most of the requirements can be reused. </w:t>
      </w:r>
      <w:r w:rsidR="008C67B3" w:rsidRPr="006F478A">
        <w:rPr>
          <w:lang w:val="en-US"/>
        </w:rPr>
        <w:t>On the other hand, the interruption may not happen if LTE carrier and NR carrier are</w:t>
      </w:r>
      <w:r w:rsidR="0017551F" w:rsidRPr="006F478A">
        <w:rPr>
          <w:lang w:val="en-US"/>
        </w:rPr>
        <w:t xml:space="preserve"> served with different RF chip, which is likely to be </w:t>
      </w:r>
      <w:r w:rsidRPr="006F478A">
        <w:rPr>
          <w:lang w:val="en-US"/>
        </w:rPr>
        <w:t xml:space="preserve">the </w:t>
      </w:r>
      <w:r w:rsidR="0017551F" w:rsidRPr="006F478A">
        <w:rPr>
          <w:lang w:val="en-US"/>
        </w:rPr>
        <w:t xml:space="preserve">case for NR deployed on &gt;6GHz spectrum. </w:t>
      </w:r>
      <w:r w:rsidR="00C37627" w:rsidRPr="006F478A">
        <w:rPr>
          <w:lang w:val="en-US"/>
        </w:rPr>
        <w:t>In</w:t>
      </w:r>
      <w:r w:rsidR="0017551F" w:rsidRPr="006F478A">
        <w:rPr>
          <w:lang w:val="en-US"/>
        </w:rPr>
        <w:t xml:space="preserve"> LTE sTTI WI there is ongoing discussion on whether the interruption requirements should be optimized considering the actual RF switching time and the TTI length. We think similar optimization should be considered for NR side in 38.133 but for LTE in 36.133 same requirement can remain as the SCS for LTE is fixed as 15kHz.</w:t>
      </w:r>
    </w:p>
    <w:p w14:paraId="091DED8B" w14:textId="47FDD9E4" w:rsidR="006F478A" w:rsidRPr="006F478A" w:rsidRDefault="006F478A" w:rsidP="00C73565">
      <w:pPr>
        <w:spacing w:before="120" w:after="120"/>
        <w:ind w:left="284"/>
        <w:rPr>
          <w:u w:val="single"/>
          <w:lang w:val="en-US"/>
        </w:rPr>
      </w:pPr>
      <w:r w:rsidRPr="006F478A">
        <w:rPr>
          <w:u w:val="single"/>
          <w:lang w:val="en-US"/>
        </w:rPr>
        <w:t>PSCell addition and release delay</w:t>
      </w:r>
    </w:p>
    <w:p w14:paraId="7763B616" w14:textId="406DBE2B" w:rsidR="006F478A" w:rsidRDefault="00A12982" w:rsidP="00C73565">
      <w:pPr>
        <w:spacing w:before="120" w:after="120"/>
        <w:ind w:left="284"/>
        <w:rPr>
          <w:lang w:val="en-US"/>
        </w:rPr>
      </w:pPr>
      <w:r>
        <w:rPr>
          <w:lang w:val="en-US"/>
        </w:rPr>
        <w:t>As we already discussed in [2</w:t>
      </w:r>
      <w:r w:rsidR="006F478A">
        <w:rPr>
          <w:lang w:val="en-US"/>
        </w:rPr>
        <w:t>], PSCell addition and release delay requirements need to be updated to accommodate EN-DC. In the last meeting</w:t>
      </w:r>
      <w:r w:rsidR="009A0562">
        <w:rPr>
          <w:lang w:val="en-US"/>
        </w:rPr>
        <w:t>,</w:t>
      </w:r>
      <w:r w:rsidR="006F478A">
        <w:rPr>
          <w:lang w:val="en-US"/>
        </w:rPr>
        <w:t xml:space="preserve"> it was agreed based on the discussion that </w:t>
      </w:r>
      <w:r w:rsidR="00703BA1" w:rsidRPr="00703BA1">
        <w:rPr>
          <w:lang w:val="en-US"/>
        </w:rPr>
        <w:t>NR cell search time can re-use the NR requirement, and delay uncertainty for PRACH on PSCell should be checked from NR PRACH design.</w:t>
      </w:r>
    </w:p>
    <w:p w14:paraId="7FD8D2F1" w14:textId="20D0AECC" w:rsidR="006F478A" w:rsidRDefault="009A0562" w:rsidP="00C73565">
      <w:pPr>
        <w:spacing w:before="120" w:after="120"/>
        <w:ind w:left="284"/>
        <w:rPr>
          <w:lang w:val="en-US"/>
        </w:rPr>
      </w:pPr>
      <w:r>
        <w:rPr>
          <w:lang w:val="en-US"/>
        </w:rPr>
        <w:t>The current PSCell addition delay requirement for LTE DC is as below:</w:t>
      </w:r>
    </w:p>
    <w:p w14:paraId="54C4B6E9" w14:textId="1EED95EB" w:rsidR="009A0562" w:rsidRDefault="009A0562" w:rsidP="00C73565">
      <w:pPr>
        <w:ind w:left="568"/>
        <w:rPr>
          <w:sz w:val="20"/>
          <w:lang w:val="x-none" w:eastAsia="ja-JP"/>
        </w:rPr>
      </w:pPr>
      <w:r>
        <w:rPr>
          <w:sz w:val="20"/>
          <w:lang w:val="x-none"/>
        </w:rPr>
        <w:t xml:space="preserve">Upon receiving </w:t>
      </w:r>
      <w:r>
        <w:rPr>
          <w:sz w:val="20"/>
          <w:lang w:val="x-none" w:eastAsia="zh-CN"/>
        </w:rPr>
        <w:t>P</w:t>
      </w:r>
      <w:r>
        <w:rPr>
          <w:sz w:val="20"/>
          <w:lang w:val="x-none"/>
        </w:rPr>
        <w:t xml:space="preserve">SCell </w:t>
      </w:r>
      <w:r>
        <w:rPr>
          <w:sz w:val="20"/>
          <w:lang w:val="x-none" w:eastAsia="ja-JP"/>
        </w:rPr>
        <w:t xml:space="preserve">addition </w:t>
      </w:r>
      <w:r>
        <w:rPr>
          <w:sz w:val="20"/>
          <w:lang w:val="x-none"/>
        </w:rPr>
        <w:t xml:space="preserve">in subframe </w:t>
      </w:r>
      <w:r>
        <w:rPr>
          <w:i/>
          <w:sz w:val="20"/>
          <w:lang w:val="x-none"/>
        </w:rPr>
        <w:t>n</w:t>
      </w:r>
      <w:r>
        <w:rPr>
          <w:sz w:val="20"/>
          <w:lang w:val="x-none"/>
        </w:rPr>
        <w:t>, the UE shall be capable to</w:t>
      </w:r>
      <w:r>
        <w:rPr>
          <w:sz w:val="20"/>
          <w:lang w:val="x-none" w:eastAsia="zh-CN"/>
        </w:rPr>
        <w:t xml:space="preserve"> </w:t>
      </w:r>
      <w:r>
        <w:rPr>
          <w:sz w:val="20"/>
          <w:lang w:val="x-none"/>
        </w:rPr>
        <w:t xml:space="preserve">transmit </w:t>
      </w:r>
      <w:r>
        <w:rPr>
          <w:sz w:val="20"/>
          <w:lang w:val="x-none" w:eastAsia="ja-JP"/>
        </w:rPr>
        <w:t>P</w:t>
      </w:r>
      <w:r>
        <w:rPr>
          <w:sz w:val="20"/>
          <w:lang w:val="x-none"/>
        </w:rPr>
        <w:t xml:space="preserve">RACH </w:t>
      </w:r>
      <w:r>
        <w:rPr>
          <w:sz w:val="20"/>
          <w:lang w:val="x-none" w:eastAsia="ja-JP"/>
        </w:rPr>
        <w:t xml:space="preserve">preamble </w:t>
      </w:r>
      <w:r>
        <w:rPr>
          <w:sz w:val="20"/>
          <w:lang w:val="x-none"/>
        </w:rPr>
        <w:t>towards</w:t>
      </w:r>
      <w:r>
        <w:rPr>
          <w:sz w:val="20"/>
        </w:rPr>
        <w:t xml:space="preserve"> </w:t>
      </w:r>
      <w:r>
        <w:rPr>
          <w:sz w:val="20"/>
          <w:lang w:val="x-none"/>
        </w:rPr>
        <w:t>PSCel</w:t>
      </w:r>
      <w:r>
        <w:rPr>
          <w:sz w:val="20"/>
          <w:lang w:val="x-none" w:eastAsia="zh-CN"/>
        </w:rPr>
        <w:t>l no</w:t>
      </w:r>
      <w:r>
        <w:rPr>
          <w:sz w:val="20"/>
          <w:lang w:val="x-none"/>
        </w:rPr>
        <w:t xml:space="preserve"> later than in subframe </w:t>
      </w:r>
      <w:r>
        <w:rPr>
          <w:i/>
          <w:sz w:val="20"/>
          <w:lang w:val="x-none"/>
        </w:rPr>
        <w:t>n</w:t>
      </w:r>
      <w:r>
        <w:rPr>
          <w:sz w:val="20"/>
          <w:lang w:val="x-none"/>
        </w:rPr>
        <w:t>+</w:t>
      </w:r>
      <w:r>
        <w:rPr>
          <w:sz w:val="20"/>
          <w:lang w:val="x-none" w:eastAsia="ja-JP"/>
        </w:rPr>
        <w:t xml:space="preserve"> T</w:t>
      </w:r>
      <w:r>
        <w:rPr>
          <w:sz w:val="20"/>
          <w:vertAlign w:val="subscript"/>
          <w:lang w:val="x-none" w:eastAsia="ja-JP"/>
        </w:rPr>
        <w:t>config_ PSCell</w:t>
      </w:r>
      <w:r>
        <w:rPr>
          <w:sz w:val="20"/>
          <w:lang w:val="x-none" w:eastAsia="ja-JP"/>
        </w:rPr>
        <w:t>:</w:t>
      </w:r>
    </w:p>
    <w:p w14:paraId="19A9ED20" w14:textId="77777777" w:rsidR="009A0562" w:rsidRDefault="009A0562" w:rsidP="00C73565">
      <w:pPr>
        <w:ind w:left="568"/>
        <w:rPr>
          <w:rFonts w:eastAsia="Times New Roman"/>
          <w:sz w:val="20"/>
          <w:lang w:eastAsia="ko-KR"/>
        </w:rPr>
      </w:pPr>
      <w:r>
        <w:rPr>
          <w:rFonts w:eastAsia="Times New Roman"/>
          <w:sz w:val="20"/>
          <w:lang w:eastAsia="ko-KR"/>
        </w:rPr>
        <w:t>Where:</w:t>
      </w:r>
    </w:p>
    <w:p w14:paraId="26FAAE5B" w14:textId="1D65DF41" w:rsidR="009A0562" w:rsidRDefault="009A0562" w:rsidP="00C73565">
      <w:pPr>
        <w:ind w:left="1198"/>
        <w:rPr>
          <w:sz w:val="20"/>
          <w:vertAlign w:val="subscript"/>
          <w:lang w:eastAsia="zh-CN"/>
        </w:rPr>
      </w:pPr>
      <w:r>
        <w:rPr>
          <w:rFonts w:eastAsia="Times New Roman"/>
          <w:sz w:val="20"/>
          <w:lang w:eastAsia="ko-KR"/>
        </w:rPr>
        <w:t>T</w:t>
      </w:r>
      <w:r>
        <w:rPr>
          <w:rFonts w:eastAsia="Times New Roman"/>
          <w:sz w:val="20"/>
          <w:vertAlign w:val="subscript"/>
          <w:lang w:eastAsia="ko-KR"/>
        </w:rPr>
        <w:t>config_PSCell</w:t>
      </w:r>
      <w:r>
        <w:rPr>
          <w:rFonts w:eastAsia="Times New Roman"/>
          <w:sz w:val="20"/>
          <w:lang w:eastAsia="ko-KR"/>
        </w:rPr>
        <w:t xml:space="preserve"> = 20ms + T</w:t>
      </w:r>
      <w:r>
        <w:rPr>
          <w:rFonts w:eastAsia="Times New Roman"/>
          <w:sz w:val="20"/>
          <w:vertAlign w:val="subscript"/>
          <w:lang w:eastAsia="ko-KR"/>
        </w:rPr>
        <w:t>activation_time</w:t>
      </w:r>
      <w:r>
        <w:rPr>
          <w:rFonts w:eastAsia="Times New Roman"/>
          <w:sz w:val="20"/>
          <w:lang w:eastAsia="ko-KR"/>
        </w:rPr>
        <w:t xml:space="preserve"> + 50ms + T</w:t>
      </w:r>
      <w:r>
        <w:rPr>
          <w:rFonts w:eastAsia="Times New Roman"/>
          <w:sz w:val="20"/>
          <w:vertAlign w:val="subscript"/>
          <w:lang w:eastAsia="ko-KR"/>
        </w:rPr>
        <w:t>PCell_ DU</w:t>
      </w:r>
      <w:r>
        <w:rPr>
          <w:rFonts w:eastAsia="Times New Roman"/>
          <w:sz w:val="20"/>
          <w:lang w:eastAsia="ko-KR"/>
        </w:rPr>
        <w:t xml:space="preserve"> + T</w:t>
      </w:r>
      <w:r>
        <w:rPr>
          <w:rFonts w:eastAsia="Times New Roman"/>
          <w:sz w:val="20"/>
          <w:vertAlign w:val="subscript"/>
          <w:lang w:eastAsia="ko-KR"/>
        </w:rPr>
        <w:t>PSCell_ DU</w:t>
      </w:r>
    </w:p>
    <w:p w14:paraId="79FFA8B4" w14:textId="4C0D9EE0" w:rsidR="009A0562" w:rsidRDefault="009A0562" w:rsidP="00C73565">
      <w:pPr>
        <w:ind w:left="1198"/>
        <w:rPr>
          <w:rFonts w:eastAsia="Times New Roman"/>
          <w:sz w:val="20"/>
          <w:lang w:eastAsia="ko-KR"/>
        </w:rPr>
      </w:pPr>
      <w:r>
        <w:rPr>
          <w:rFonts w:eastAsia="Times New Roman"/>
          <w:sz w:val="20"/>
          <w:lang w:eastAsia="ko-KR"/>
        </w:rPr>
        <w:lastRenderedPageBreak/>
        <w:t>T</w:t>
      </w:r>
      <w:r>
        <w:rPr>
          <w:rFonts w:eastAsia="Times New Roman"/>
          <w:sz w:val="20"/>
          <w:vertAlign w:val="subscript"/>
          <w:lang w:eastAsia="ko-KR"/>
        </w:rPr>
        <w:t>activation_time</w:t>
      </w:r>
      <w:r>
        <w:rPr>
          <w:rFonts w:eastAsia="Times New Roman"/>
          <w:sz w:val="20"/>
          <w:lang w:eastAsia="ko-KR"/>
        </w:rPr>
        <w:t xml:space="preserve"> is the NR PSCell activation delay. If the PSCell is known, then T</w:t>
      </w:r>
      <w:r>
        <w:rPr>
          <w:rFonts w:eastAsia="Times New Roman"/>
          <w:sz w:val="20"/>
          <w:vertAlign w:val="subscript"/>
          <w:lang w:eastAsia="ko-KR"/>
        </w:rPr>
        <w:t>activation_time</w:t>
      </w:r>
      <w:r>
        <w:rPr>
          <w:rFonts w:eastAsia="Times New Roman"/>
          <w:sz w:val="20"/>
          <w:lang w:eastAsia="ko-KR"/>
        </w:rPr>
        <w:t xml:space="preserve"> is </w:t>
      </w:r>
      <w:r w:rsidRPr="00703BA1">
        <w:rPr>
          <w:rFonts w:eastAsia="Times New Roman"/>
          <w:sz w:val="20"/>
          <w:highlight w:val="yellow"/>
          <w:lang w:eastAsia="ko-KR"/>
        </w:rPr>
        <w:t>20</w:t>
      </w:r>
      <w:r w:rsidRPr="00703BA1">
        <w:rPr>
          <w:sz w:val="20"/>
          <w:highlight w:val="yellow"/>
          <w:lang w:eastAsia="zh-CN"/>
        </w:rPr>
        <w:t>ms</w:t>
      </w:r>
      <w:r>
        <w:rPr>
          <w:rFonts w:eastAsia="Times New Roman"/>
          <w:sz w:val="20"/>
          <w:lang w:eastAsia="ko-KR"/>
        </w:rPr>
        <w:t>. If the PSCell is unknown, then T</w:t>
      </w:r>
      <w:r>
        <w:rPr>
          <w:rFonts w:eastAsia="Times New Roman"/>
          <w:sz w:val="20"/>
          <w:vertAlign w:val="subscript"/>
          <w:lang w:eastAsia="ko-KR"/>
        </w:rPr>
        <w:t>activation_time_EN-DC</w:t>
      </w:r>
      <w:r>
        <w:rPr>
          <w:rFonts w:eastAsia="Times New Roman"/>
          <w:sz w:val="20"/>
          <w:lang w:eastAsia="ko-KR"/>
        </w:rPr>
        <w:t xml:space="preserve"> is </w:t>
      </w:r>
      <w:r w:rsidRPr="00703BA1">
        <w:rPr>
          <w:rFonts w:eastAsia="Times New Roman"/>
          <w:sz w:val="20"/>
          <w:highlight w:val="yellow"/>
          <w:lang w:eastAsia="ko-KR"/>
        </w:rPr>
        <w:t>30ms</w:t>
      </w:r>
      <w:r>
        <w:rPr>
          <w:rFonts w:eastAsia="Times New Roman"/>
          <w:sz w:val="20"/>
          <w:lang w:eastAsia="ko-KR"/>
        </w:rPr>
        <w:t xml:space="preserve"> provided the PSCell can be successfully detected on the first attempt.</w:t>
      </w:r>
    </w:p>
    <w:p w14:paraId="5FF804D0" w14:textId="2BE83A41" w:rsidR="009A0562" w:rsidRDefault="009A0562" w:rsidP="00C73565">
      <w:pPr>
        <w:ind w:left="1198"/>
        <w:rPr>
          <w:rFonts w:eastAsia="Times New Roman"/>
          <w:sz w:val="20"/>
          <w:lang w:eastAsia="ko-KR"/>
        </w:rPr>
      </w:pPr>
      <w:r>
        <w:rPr>
          <w:rFonts w:eastAsia="Times New Roman"/>
          <w:sz w:val="20"/>
          <w:lang w:eastAsia="ko-KR"/>
        </w:rPr>
        <w:t>T</w:t>
      </w:r>
      <w:r>
        <w:rPr>
          <w:rFonts w:eastAsia="Times New Roman"/>
          <w:sz w:val="20"/>
          <w:vertAlign w:val="subscript"/>
          <w:lang w:eastAsia="ko-KR"/>
        </w:rPr>
        <w:t>PCell_ DU</w:t>
      </w:r>
      <w:r>
        <w:rPr>
          <w:rFonts w:eastAsia="Times New Roman"/>
          <w:sz w:val="20"/>
          <w:lang w:eastAsia="ko-KR"/>
        </w:rPr>
        <w:t xml:space="preserve"> is the delay uncertainty due to PCell PRACH preamble transmission. T</w:t>
      </w:r>
      <w:r>
        <w:rPr>
          <w:rFonts w:eastAsia="Times New Roman"/>
          <w:sz w:val="20"/>
          <w:vertAlign w:val="subscript"/>
          <w:lang w:eastAsia="ko-KR"/>
        </w:rPr>
        <w:t>PCell_ DU</w:t>
      </w:r>
      <w:r>
        <w:rPr>
          <w:rFonts w:eastAsia="Times New Roman"/>
          <w:sz w:val="20"/>
          <w:lang w:eastAsia="ko-KR"/>
        </w:rPr>
        <w:t xml:space="preserve"> is up to 20ms if PSCell activation is interrupted by a PCell PRACH preamble transmission, otherwise it is 0.</w:t>
      </w:r>
    </w:p>
    <w:p w14:paraId="48DD907B" w14:textId="411A29D8" w:rsidR="009A0562" w:rsidRDefault="009A0562" w:rsidP="00C73565">
      <w:pPr>
        <w:ind w:left="1198"/>
        <w:rPr>
          <w:rFonts w:eastAsia="Times New Roman"/>
          <w:sz w:val="20"/>
          <w:lang w:eastAsia="ko-KR"/>
        </w:rPr>
      </w:pPr>
      <w:r>
        <w:rPr>
          <w:rFonts w:eastAsia="Times New Roman"/>
          <w:sz w:val="20"/>
          <w:lang w:eastAsia="ko-KR"/>
        </w:rPr>
        <w:t>T</w:t>
      </w:r>
      <w:r>
        <w:rPr>
          <w:rFonts w:eastAsia="Times New Roman"/>
          <w:sz w:val="20"/>
          <w:vertAlign w:val="subscript"/>
          <w:lang w:eastAsia="ko-KR"/>
        </w:rPr>
        <w:t>PSCell_ DU</w:t>
      </w:r>
      <w:r>
        <w:rPr>
          <w:rFonts w:eastAsia="Times New Roman"/>
          <w:sz w:val="20"/>
          <w:lang w:eastAsia="ko-KR"/>
        </w:rPr>
        <w:t xml:space="preserve"> is the delay uncertainty in acquiring the first available PRACH occasion in the PSCell. T</w:t>
      </w:r>
      <w:r>
        <w:rPr>
          <w:rFonts w:eastAsia="Times New Roman"/>
          <w:sz w:val="20"/>
          <w:vertAlign w:val="subscript"/>
          <w:lang w:eastAsia="ko-KR"/>
        </w:rPr>
        <w:t>PSCell_ DU</w:t>
      </w:r>
      <w:r>
        <w:rPr>
          <w:rFonts w:eastAsia="Times New Roman"/>
          <w:sz w:val="20"/>
          <w:lang w:eastAsia="ko-KR"/>
        </w:rPr>
        <w:t xml:space="preserve">is up to </w:t>
      </w:r>
      <w:r w:rsidRPr="00703BA1">
        <w:rPr>
          <w:rFonts w:eastAsia="Times New Roman"/>
          <w:sz w:val="20"/>
          <w:highlight w:val="yellow"/>
          <w:lang w:eastAsia="ko-KR"/>
        </w:rPr>
        <w:t>30</w:t>
      </w:r>
      <w:r w:rsidRPr="00703BA1">
        <w:rPr>
          <w:sz w:val="20"/>
          <w:highlight w:val="yellow"/>
          <w:lang w:eastAsia="zh-CN"/>
        </w:rPr>
        <w:t>ms</w:t>
      </w:r>
      <w:r>
        <w:rPr>
          <w:rFonts w:eastAsia="Times New Roman"/>
          <w:sz w:val="20"/>
          <w:lang w:eastAsia="ko-KR"/>
        </w:rPr>
        <w:t>.</w:t>
      </w:r>
    </w:p>
    <w:p w14:paraId="1B23E50E" w14:textId="606FD719" w:rsidR="00703BA1" w:rsidRDefault="00703BA1" w:rsidP="00C73565">
      <w:pPr>
        <w:spacing w:before="120" w:after="120"/>
        <w:ind w:left="284"/>
      </w:pPr>
      <w:r>
        <w:rPr>
          <w:lang w:val="en-US"/>
        </w:rPr>
        <w:t xml:space="preserve">The highlighted parts need to be checked when introducing EN-DC. Furthermore, we think that the </w:t>
      </w:r>
      <w:r w:rsidR="0064264F">
        <w:rPr>
          <w:lang w:val="en-US"/>
        </w:rPr>
        <w:t xml:space="preserve">validity of the </w:t>
      </w:r>
      <w:r>
        <w:rPr>
          <w:lang w:val="en-US"/>
        </w:rPr>
        <w:t>20 ms and 50 ms in the</w:t>
      </w:r>
      <w:r w:rsidR="0064264F">
        <w:rPr>
          <w:lang w:val="en-US"/>
        </w:rPr>
        <w:t xml:space="preserve"> </w:t>
      </w:r>
      <w:r>
        <w:rPr>
          <w:lang w:val="en-US"/>
        </w:rPr>
        <w:t xml:space="preserve">equation of </w:t>
      </w:r>
      <w:r>
        <w:rPr>
          <w:rFonts w:eastAsia="Times New Roman"/>
          <w:sz w:val="20"/>
          <w:lang w:eastAsia="ko-KR"/>
        </w:rPr>
        <w:t>T</w:t>
      </w:r>
      <w:r>
        <w:rPr>
          <w:rFonts w:eastAsia="Times New Roman"/>
          <w:sz w:val="20"/>
          <w:vertAlign w:val="subscript"/>
          <w:lang w:eastAsia="ko-KR"/>
        </w:rPr>
        <w:t>config_PSCell</w:t>
      </w:r>
      <w:r w:rsidR="0064264F">
        <w:rPr>
          <w:rFonts w:eastAsia="Times New Roman"/>
          <w:sz w:val="20"/>
          <w:lang w:eastAsia="ko-KR"/>
        </w:rPr>
        <w:t xml:space="preserve"> </w:t>
      </w:r>
      <w:r w:rsidR="0064264F" w:rsidRPr="0064264F">
        <w:t>should be checked</w:t>
      </w:r>
      <w:r w:rsidR="0064264F">
        <w:t xml:space="preserve"> for NR</w:t>
      </w:r>
      <w:r w:rsidR="0064264F" w:rsidRPr="0064264F">
        <w:t>.</w:t>
      </w:r>
    </w:p>
    <w:p w14:paraId="44368B90" w14:textId="3E0DC6D8" w:rsidR="0064264F" w:rsidRPr="0064264F" w:rsidRDefault="0064264F" w:rsidP="00C73565">
      <w:pPr>
        <w:spacing w:before="120" w:after="120"/>
        <w:ind w:left="284"/>
        <w:rPr>
          <w:b/>
          <w:lang w:val="en-US"/>
        </w:rPr>
      </w:pPr>
      <w:r w:rsidRPr="0064264F">
        <w:rPr>
          <w:b/>
        </w:rPr>
        <w:t>Proposal</w:t>
      </w:r>
      <w:r w:rsidR="008069C6">
        <w:rPr>
          <w:b/>
        </w:rPr>
        <w:t xml:space="preserve"> 2</w:t>
      </w:r>
      <w:r w:rsidRPr="0064264F">
        <w:rPr>
          <w:b/>
        </w:rPr>
        <w:t>: 20 ms and 50 ms requirement in the equation of T</w:t>
      </w:r>
      <w:r w:rsidRPr="0064264F">
        <w:rPr>
          <w:b/>
          <w:vertAlign w:val="subscript"/>
        </w:rPr>
        <w:t>config_PSCell</w:t>
      </w:r>
      <w:r w:rsidRPr="0064264F">
        <w:rPr>
          <w:b/>
        </w:rPr>
        <w:t xml:space="preserve"> should be checked when defining NR PSCell addition delay requirement.</w:t>
      </w:r>
    </w:p>
    <w:p w14:paraId="632924A4" w14:textId="5020F406" w:rsidR="009A0562" w:rsidRDefault="0064264F" w:rsidP="00C73565">
      <w:pPr>
        <w:spacing w:before="120" w:after="120"/>
        <w:ind w:left="284"/>
        <w:rPr>
          <w:lang w:val="en-US"/>
        </w:rPr>
      </w:pPr>
      <w:r>
        <w:rPr>
          <w:lang w:val="en-US"/>
        </w:rPr>
        <w:t xml:space="preserve">For </w:t>
      </w:r>
      <w:r w:rsidR="00703BA1">
        <w:rPr>
          <w:lang w:val="en-US"/>
        </w:rPr>
        <w:t xml:space="preserve">clarity, </w:t>
      </w:r>
      <w:r>
        <w:rPr>
          <w:lang w:val="en-US"/>
        </w:rPr>
        <w:t xml:space="preserve">we think </w:t>
      </w:r>
      <w:r w:rsidR="005A0612">
        <w:rPr>
          <w:lang w:val="en-US"/>
        </w:rPr>
        <w:t>best way to introduce this in the specification is</w:t>
      </w:r>
      <w:r w:rsidR="00703BA1">
        <w:rPr>
          <w:lang w:val="en-US"/>
        </w:rPr>
        <w:t xml:space="preserve"> to include a new</w:t>
      </w:r>
      <w:r>
        <w:rPr>
          <w:lang w:val="en-US"/>
        </w:rPr>
        <w:t xml:space="preserve"> section for NR PSCell addition in 36.133. In our</w:t>
      </w:r>
      <w:r w:rsidR="00A12982">
        <w:rPr>
          <w:lang w:val="en-US"/>
        </w:rPr>
        <w:t xml:space="preserve"> accompanying paper [3</w:t>
      </w:r>
      <w:r>
        <w:rPr>
          <w:lang w:val="en-US"/>
        </w:rPr>
        <w:t xml:space="preserve">] we have made a proposal of the additional section in a CR. </w:t>
      </w:r>
    </w:p>
    <w:p w14:paraId="1F87D7BB" w14:textId="77777777" w:rsidR="009A0562" w:rsidRDefault="009A0562" w:rsidP="006F478A">
      <w:pPr>
        <w:spacing w:before="120" w:after="120"/>
        <w:rPr>
          <w:lang w:val="en-US"/>
        </w:rPr>
      </w:pPr>
    </w:p>
    <w:p w14:paraId="4EF7EC9E" w14:textId="77777777" w:rsidR="00202367" w:rsidRPr="006441EF" w:rsidRDefault="00202367" w:rsidP="00202367">
      <w:pPr>
        <w:spacing w:before="120" w:after="120"/>
        <w:rPr>
          <w:sz w:val="24"/>
          <w:szCs w:val="24"/>
          <w:u w:val="single"/>
          <w:lang w:val="en-US"/>
        </w:rPr>
      </w:pPr>
      <w:r w:rsidRPr="006441EF">
        <w:rPr>
          <w:sz w:val="24"/>
          <w:szCs w:val="24"/>
          <w:u w:val="single"/>
          <w:lang w:val="en-US"/>
        </w:rPr>
        <w:t>Section 8</w:t>
      </w:r>
    </w:p>
    <w:p w14:paraId="7FFF962A" w14:textId="28AB0EDA" w:rsidR="006441EF" w:rsidRPr="006441EF" w:rsidRDefault="00202367" w:rsidP="006441EF">
      <w:pPr>
        <w:spacing w:before="120" w:after="120"/>
        <w:rPr>
          <w:lang w:val="en-US"/>
        </w:rPr>
      </w:pPr>
      <w:r w:rsidRPr="006441EF">
        <w:rPr>
          <w:lang w:val="en-US"/>
        </w:rPr>
        <w:t>Section 8 includes the RRM me</w:t>
      </w:r>
      <w:r w:rsidR="006441EF" w:rsidRPr="006441EF">
        <w:rPr>
          <w:lang w:val="en-US"/>
        </w:rPr>
        <w:t>asurement requirements for LTE. For MN to be able to configure measurement of NR to decide the PSCell and SCell addition/release in SN, Inter-RAT NR measurement requirements should be introduced in 36.133</w:t>
      </w:r>
      <w:r w:rsidR="00382318">
        <w:rPr>
          <w:lang w:val="en-US"/>
        </w:rPr>
        <w:t>, as agreed in the WF</w:t>
      </w:r>
      <w:r w:rsidR="006441EF" w:rsidRPr="006441EF">
        <w:rPr>
          <w:lang w:val="en-US"/>
        </w:rPr>
        <w:t>.</w:t>
      </w:r>
      <w:r w:rsidR="006441EF">
        <w:rPr>
          <w:lang w:val="en-US"/>
        </w:rPr>
        <w:t xml:space="preserve"> </w:t>
      </w:r>
      <w:r w:rsidR="006441EF" w:rsidRPr="006441EF">
        <w:rPr>
          <w:lang w:val="en-US"/>
        </w:rPr>
        <w:t>As captured in the WF, further analysis is needed on existing capability for measurement, and event triggering and reporting criteria should be revisited.</w:t>
      </w:r>
      <w:r w:rsidR="006441EF" w:rsidRPr="003D7701">
        <w:rPr>
          <w:rFonts w:ascii="Calibri" w:eastAsia="Malgun Gothic" w:hAnsi="Calibri"/>
          <w:sz w:val="22"/>
          <w:szCs w:val="22"/>
          <w:lang w:val="en-US" w:eastAsia="zh-CN"/>
        </w:rPr>
        <w:t xml:space="preserve"> </w:t>
      </w:r>
    </w:p>
    <w:p w14:paraId="293F3DA0" w14:textId="77777777" w:rsidR="006441EF" w:rsidRDefault="006441EF" w:rsidP="00202367">
      <w:pPr>
        <w:spacing w:before="120" w:after="120"/>
        <w:rPr>
          <w:color w:val="595959" w:themeColor="text1" w:themeTint="A6"/>
          <w:lang w:val="en-US"/>
        </w:rPr>
      </w:pPr>
    </w:p>
    <w:p w14:paraId="1314B78E" w14:textId="77777777" w:rsidR="006441EF" w:rsidRPr="00DF1905" w:rsidRDefault="006441EF" w:rsidP="00C73565">
      <w:pPr>
        <w:spacing w:before="120" w:after="120"/>
        <w:ind w:left="284"/>
        <w:rPr>
          <w:u w:val="single"/>
          <w:lang w:val="en-US"/>
        </w:rPr>
      </w:pPr>
      <w:r w:rsidRPr="00DF1905">
        <w:rPr>
          <w:u w:val="single"/>
          <w:lang w:val="en-US"/>
        </w:rPr>
        <w:t xml:space="preserve">Measurement capability </w:t>
      </w:r>
    </w:p>
    <w:p w14:paraId="033A9676" w14:textId="49F4AB1A" w:rsidR="0012202C" w:rsidRPr="00DF1905" w:rsidRDefault="006441EF" w:rsidP="00C73565">
      <w:pPr>
        <w:spacing w:before="120" w:after="120"/>
        <w:ind w:left="284"/>
        <w:rPr>
          <w:lang w:val="en-US"/>
        </w:rPr>
      </w:pPr>
      <w:r w:rsidRPr="00DF1905">
        <w:rPr>
          <w:lang w:val="en-US"/>
        </w:rPr>
        <w:t>T</w:t>
      </w:r>
      <w:r w:rsidR="00202367" w:rsidRPr="00DF1905">
        <w:rPr>
          <w:lang w:val="en-US"/>
        </w:rPr>
        <w:t xml:space="preserve">he measurement capability in terms of number of maximum supported carrier frequencies are specified in section </w:t>
      </w:r>
      <w:r w:rsidR="0012202C" w:rsidRPr="00DF1905">
        <w:rPr>
          <w:lang w:val="en-US"/>
        </w:rPr>
        <w:t>8.1.2.1. the requirement includes</w:t>
      </w:r>
    </w:p>
    <w:p w14:paraId="79AAEFDA" w14:textId="77777777" w:rsidR="0012202C" w:rsidRPr="00DF1905" w:rsidRDefault="0012202C" w:rsidP="00C73565">
      <w:pPr>
        <w:numPr>
          <w:ilvl w:val="0"/>
          <w:numId w:val="30"/>
        </w:numPr>
        <w:spacing w:before="120" w:after="120"/>
        <w:ind w:left="1004"/>
        <w:rPr>
          <w:lang w:val="en-US"/>
        </w:rPr>
      </w:pPr>
      <w:r w:rsidRPr="00DF1905">
        <w:rPr>
          <w:lang w:val="en-US"/>
        </w:rPr>
        <w:t xml:space="preserve">Per RAT capability, e.g. 3 FDD E-UTRA inter-frequency carriers </w:t>
      </w:r>
    </w:p>
    <w:p w14:paraId="2DC066E0" w14:textId="77777777" w:rsidR="0012202C" w:rsidRPr="00DF1905" w:rsidRDefault="0012202C" w:rsidP="00C73565">
      <w:pPr>
        <w:numPr>
          <w:ilvl w:val="0"/>
          <w:numId w:val="30"/>
        </w:numPr>
        <w:spacing w:before="120" w:after="120"/>
        <w:ind w:left="1004"/>
        <w:rPr>
          <w:lang w:val="en-US"/>
        </w:rPr>
      </w:pPr>
      <w:r w:rsidRPr="00DF1905">
        <w:rPr>
          <w:lang w:val="en-US"/>
        </w:rPr>
        <w:t>Total number of effective carrier frequency layers for different RATs, e.g. in LTE the number is 7</w:t>
      </w:r>
    </w:p>
    <w:p w14:paraId="49376056" w14:textId="4E0696C7" w:rsidR="0012202C" w:rsidRPr="00DF1905" w:rsidRDefault="0012202C" w:rsidP="00C73565">
      <w:pPr>
        <w:spacing w:before="120" w:after="120"/>
        <w:ind w:left="284"/>
        <w:rPr>
          <w:lang w:val="en-US"/>
        </w:rPr>
      </w:pPr>
      <w:r w:rsidRPr="00DF1905">
        <w:rPr>
          <w:lang w:val="en-US"/>
        </w:rPr>
        <w:t>We believe for NR, both requirements are needed. The number of NR carriers UE shall be able to measure is discussed in NR side</w:t>
      </w:r>
      <w:r w:rsidR="00DF1905" w:rsidRPr="00DF1905">
        <w:rPr>
          <w:lang w:val="en-US"/>
        </w:rPr>
        <w:t xml:space="preserve"> in our accompanying </w:t>
      </w:r>
      <w:r w:rsidR="00DF1905" w:rsidRPr="00A12982">
        <w:rPr>
          <w:lang w:val="en-US"/>
        </w:rPr>
        <w:t>paper [</w:t>
      </w:r>
      <w:r w:rsidR="00A12982" w:rsidRPr="00A12982">
        <w:rPr>
          <w:lang w:val="en-US"/>
        </w:rPr>
        <w:t>4</w:t>
      </w:r>
      <w:r w:rsidR="00DF1905" w:rsidRPr="00A12982">
        <w:rPr>
          <w:lang w:val="en-US"/>
        </w:rPr>
        <w:t>].</w:t>
      </w:r>
      <w:r w:rsidR="00DF1905" w:rsidRPr="00DF1905">
        <w:rPr>
          <w:lang w:val="en-US"/>
        </w:rPr>
        <w:t xml:space="preserve"> The related agreements made for 38.133 should be reused in 36.133, but t</w:t>
      </w:r>
      <w:r w:rsidRPr="00DF1905">
        <w:rPr>
          <w:lang w:val="en-US"/>
        </w:rPr>
        <w:t xml:space="preserve">he total number of effective layers UE shall be able to measure should be discussed further. </w:t>
      </w:r>
    </w:p>
    <w:p w14:paraId="46D3270D" w14:textId="404C9DEC" w:rsidR="00DF1905" w:rsidRPr="00DF1905" w:rsidRDefault="00DF1905" w:rsidP="00C73565">
      <w:pPr>
        <w:spacing w:before="120" w:after="120"/>
        <w:ind w:left="284"/>
        <w:rPr>
          <w:lang w:val="en-US"/>
        </w:rPr>
      </w:pPr>
      <w:r w:rsidRPr="00DF1905">
        <w:rPr>
          <w:lang w:val="en-US"/>
        </w:rPr>
        <w:t>In the last meeting</w:t>
      </w:r>
      <w:r w:rsidR="005C3170">
        <w:rPr>
          <w:lang w:val="en-US"/>
        </w:rPr>
        <w:t>,</w:t>
      </w:r>
      <w:r w:rsidRPr="00DF1905">
        <w:rPr>
          <w:lang w:val="en-US"/>
        </w:rPr>
        <w:t xml:space="preserve"> we proposed a principle of defining the total number of effective layers with NR in [</w:t>
      </w:r>
      <w:r w:rsidR="002A2075">
        <w:rPr>
          <w:lang w:val="en-US"/>
        </w:rPr>
        <w:t>2</w:t>
      </w:r>
      <w:r w:rsidRPr="00DF1905">
        <w:rPr>
          <w:lang w:val="en-US"/>
        </w:rPr>
        <w:t>]. As there were no agreements on how to define this, here we repeat the discussion.</w:t>
      </w:r>
    </w:p>
    <w:p w14:paraId="6C77AF96" w14:textId="76D34F1A" w:rsidR="009A47A7" w:rsidRPr="00DF1905" w:rsidRDefault="00DF1905" w:rsidP="00C73565">
      <w:pPr>
        <w:spacing w:before="120" w:after="120"/>
        <w:ind w:left="284"/>
        <w:rPr>
          <w:lang w:val="en-US"/>
        </w:rPr>
      </w:pPr>
      <w:r w:rsidRPr="00DF1905">
        <w:rPr>
          <w:lang w:val="en-US"/>
        </w:rPr>
        <w:t>In our view</w:t>
      </w:r>
      <w:r w:rsidR="0012202C" w:rsidRPr="00DF1905">
        <w:rPr>
          <w:lang w:val="en-US"/>
        </w:rPr>
        <w:t xml:space="preserve"> supporting </w:t>
      </w:r>
      <w:r w:rsidRPr="00DF1905">
        <w:rPr>
          <w:lang w:val="en-US"/>
        </w:rPr>
        <w:t>EN-DC</w:t>
      </w:r>
      <w:r w:rsidR="009A47A7" w:rsidRPr="00DF1905">
        <w:rPr>
          <w:lang w:val="en-US"/>
        </w:rPr>
        <w:t xml:space="preserve"> </w:t>
      </w:r>
      <w:r w:rsidR="0012202C" w:rsidRPr="00DF1905">
        <w:rPr>
          <w:lang w:val="en-US"/>
        </w:rPr>
        <w:t xml:space="preserve">should </w:t>
      </w:r>
      <w:r w:rsidR="009A47A7" w:rsidRPr="00DF1905">
        <w:rPr>
          <w:lang w:val="en-US"/>
        </w:rPr>
        <w:t>not lead to a relaxation in the UE’s LTE capability</w:t>
      </w:r>
      <w:r w:rsidRPr="00DF1905">
        <w:rPr>
          <w:lang w:val="en-US"/>
        </w:rPr>
        <w:t xml:space="preserve"> in principle</w:t>
      </w:r>
      <w:r w:rsidR="009A47A7" w:rsidRPr="00DF1905">
        <w:rPr>
          <w:lang w:val="en-US"/>
        </w:rPr>
        <w:t xml:space="preserve">. With </w:t>
      </w:r>
      <w:r w:rsidRPr="00DF1905">
        <w:rPr>
          <w:lang w:val="en-US"/>
        </w:rPr>
        <w:t>EN-DC</w:t>
      </w:r>
      <w:r w:rsidR="009A47A7" w:rsidRPr="00DF1905">
        <w:rPr>
          <w:lang w:val="en-US"/>
        </w:rPr>
        <w:t xml:space="preserve"> the mobility of LTE MN is supposed not to be impacted whether the SN is configured or not. This means even when UE is configured with NR PSCell, MN may still configure </w:t>
      </w:r>
      <w:r w:rsidR="00EF0742" w:rsidRPr="00DF1905">
        <w:rPr>
          <w:lang w:val="en-US"/>
        </w:rPr>
        <w:t xml:space="preserve">LTE </w:t>
      </w:r>
      <w:r w:rsidR="009A47A7" w:rsidRPr="00DF1905">
        <w:rPr>
          <w:lang w:val="en-US"/>
        </w:rPr>
        <w:t xml:space="preserve">inter-frequency measurement and inter-RAT measurement to other RATs than NR, as if the NR PSCell is not added. This means the total number of effective carriers should be 7+X, where X is number of maximum NR carriers to be supported for measurement (which will be agreed for 38.133). </w:t>
      </w:r>
    </w:p>
    <w:p w14:paraId="4698005B" w14:textId="77777777" w:rsidR="00EF0742" w:rsidRPr="00DF1905" w:rsidRDefault="009A47A7" w:rsidP="00C73565">
      <w:pPr>
        <w:spacing w:before="120" w:after="120"/>
        <w:ind w:left="284"/>
        <w:rPr>
          <w:lang w:val="en-US"/>
        </w:rPr>
      </w:pPr>
      <w:r w:rsidRPr="00DF1905">
        <w:rPr>
          <w:lang w:val="en-US"/>
        </w:rPr>
        <w:t xml:space="preserve">On the other hand, we understand that such a requirement may be too challenging from UE complexity point of view. Therefore, our preference is to keep the current per-RAT measurement capability </w:t>
      </w:r>
      <w:r w:rsidR="00EF0742" w:rsidRPr="00DF1905">
        <w:rPr>
          <w:lang w:val="en-US"/>
        </w:rPr>
        <w:t>as defined in section 8.1.2.1.1.1</w:t>
      </w:r>
      <w:r w:rsidRPr="00DF1905">
        <w:rPr>
          <w:lang w:val="en-US"/>
        </w:rPr>
        <w:t xml:space="preserve"> </w:t>
      </w:r>
      <w:r w:rsidR="00EF0742" w:rsidRPr="00DF1905">
        <w:rPr>
          <w:lang w:val="en-US"/>
        </w:rPr>
        <w:t>for NSA, but relax the total number of effective carriers to 7+Y, where Y&lt;=X.</w:t>
      </w:r>
    </w:p>
    <w:p w14:paraId="50528E6E" w14:textId="77777777" w:rsidR="00EF0742" w:rsidRPr="00DF1905" w:rsidRDefault="00EF0742" w:rsidP="00C73565">
      <w:pPr>
        <w:spacing w:before="120" w:after="120"/>
        <w:ind w:left="284"/>
        <w:rPr>
          <w:lang w:val="en-US"/>
        </w:rPr>
      </w:pPr>
      <w:r w:rsidRPr="00DF1905">
        <w:rPr>
          <w:lang w:val="en-US"/>
        </w:rPr>
        <w:t xml:space="preserve">The reporting capability is defined in section 8.2 in terms of number of reporting criteria UE shall support. We think similar change should be made as for measurement capability, but since the reporting capability is more related with the reporting criteria to be defined for NR in RAN2, the discussion can be postponed when there is a more clear view on how many reporting criteria is needed for a NR object compared to LTE.    </w:t>
      </w:r>
    </w:p>
    <w:p w14:paraId="0A2EF6F8" w14:textId="7520EBC2" w:rsidR="00EF0742" w:rsidRPr="00DF1905" w:rsidRDefault="00EF0742" w:rsidP="00C73565">
      <w:pPr>
        <w:spacing w:before="120" w:after="120"/>
        <w:ind w:left="284"/>
        <w:rPr>
          <w:b/>
          <w:lang w:val="en-US"/>
        </w:rPr>
      </w:pPr>
      <w:r w:rsidRPr="00DF1905">
        <w:rPr>
          <w:b/>
          <w:lang w:val="en-US"/>
        </w:rPr>
        <w:t xml:space="preserve">Proposal </w:t>
      </w:r>
      <w:r w:rsidR="008069C6">
        <w:rPr>
          <w:b/>
          <w:lang w:val="en-US"/>
        </w:rPr>
        <w:t>3</w:t>
      </w:r>
      <w:r w:rsidRPr="00DF1905">
        <w:rPr>
          <w:b/>
          <w:lang w:val="en-US"/>
        </w:rPr>
        <w:t>: The current per-RAT measurement capability as defined in section 8.1.2.1.1.1 is re-used for NSA, and the capability of total number of effective carriers is defined as 7+Y, where Y&lt;=X and where X is number of maximum NR carriers to be supported.</w:t>
      </w:r>
    </w:p>
    <w:p w14:paraId="2D91CBF0" w14:textId="4D4975BA" w:rsidR="00DF1905" w:rsidRDefault="00DF1905" w:rsidP="0012202C">
      <w:pPr>
        <w:spacing w:before="120" w:after="120"/>
        <w:rPr>
          <w:color w:val="595959" w:themeColor="text1" w:themeTint="A6"/>
          <w:lang w:val="en-US"/>
        </w:rPr>
      </w:pPr>
    </w:p>
    <w:p w14:paraId="3DBB67FE" w14:textId="27F93A44" w:rsidR="00AB4F6D" w:rsidRPr="008069C6" w:rsidRDefault="00AB4F6D" w:rsidP="00450BF4">
      <w:pPr>
        <w:spacing w:before="120" w:after="120"/>
        <w:rPr>
          <w:lang w:val="en-US"/>
        </w:rPr>
      </w:pPr>
    </w:p>
    <w:p w14:paraId="1F3D0252" w14:textId="7357D0C6" w:rsidR="008069C6" w:rsidRPr="008069C6" w:rsidRDefault="008069C6" w:rsidP="008069C6">
      <w:pPr>
        <w:spacing w:before="120" w:after="120"/>
        <w:ind w:left="284"/>
        <w:rPr>
          <w:u w:val="single"/>
          <w:lang w:val="en-US"/>
        </w:rPr>
      </w:pPr>
      <w:r w:rsidRPr="008069C6">
        <w:rPr>
          <w:u w:val="single"/>
          <w:lang w:val="en-US"/>
        </w:rPr>
        <w:t>Measurement performance</w:t>
      </w:r>
    </w:p>
    <w:p w14:paraId="12B1ACD2" w14:textId="13BDF885" w:rsidR="0012202C" w:rsidRPr="008069C6" w:rsidRDefault="00A90E47" w:rsidP="008069C6">
      <w:pPr>
        <w:spacing w:before="120" w:after="120"/>
        <w:ind w:left="284"/>
        <w:rPr>
          <w:lang w:val="en-US"/>
        </w:rPr>
      </w:pPr>
      <w:r w:rsidRPr="008069C6">
        <w:rPr>
          <w:lang w:val="en-US"/>
        </w:rPr>
        <w:t xml:space="preserve">For the measurement performance of inter-RAT NR measurement, including at least NR cell identification delay, NR measurement period, and maybe more from NR such as beam management related performance, should be discussed in NR side for 38.133. In principle, </w:t>
      </w:r>
      <w:r w:rsidR="00A41396" w:rsidRPr="008069C6">
        <w:rPr>
          <w:lang w:val="en-US"/>
        </w:rPr>
        <w:t>per carrier measurement performance of inter-RAT NR measu</w:t>
      </w:r>
      <w:r w:rsidR="00C73565" w:rsidRPr="008069C6">
        <w:rPr>
          <w:lang w:val="en-US"/>
        </w:rPr>
        <w:t>rement in LTE side could re-use</w:t>
      </w:r>
      <w:r w:rsidR="00A41396" w:rsidRPr="008069C6">
        <w:rPr>
          <w:lang w:val="en-US"/>
        </w:rPr>
        <w:t xml:space="preserve"> what are defined for intra-/inter-frequency measurement in NR side as starting point. After NR requirements are clear, RAN4 can further check if all requirements are applicable for inter-RAT measurement. The overall performance of the inter-RAT NR measurement also depends on the gap usage, which should be further discussed. </w:t>
      </w:r>
    </w:p>
    <w:p w14:paraId="453FA60B" w14:textId="5FB5DE9A" w:rsidR="00A41396" w:rsidRPr="008069C6" w:rsidRDefault="00A41396" w:rsidP="008069C6">
      <w:pPr>
        <w:spacing w:before="120" w:after="120"/>
        <w:ind w:left="284"/>
        <w:rPr>
          <w:b/>
          <w:lang w:val="en-US"/>
        </w:rPr>
      </w:pPr>
      <w:r w:rsidRPr="008069C6">
        <w:rPr>
          <w:b/>
          <w:lang w:val="en-US"/>
        </w:rPr>
        <w:t xml:space="preserve">Proposal </w:t>
      </w:r>
      <w:r w:rsidR="008069C6">
        <w:rPr>
          <w:b/>
          <w:lang w:val="en-US"/>
        </w:rPr>
        <w:t>4</w:t>
      </w:r>
      <w:r w:rsidRPr="008069C6">
        <w:rPr>
          <w:b/>
          <w:lang w:val="en-US"/>
        </w:rPr>
        <w:t>: Per carrier measurement performance of inter-RAT NR measurement in LTE side re-uses what are defined for intra-/inter-frequency measurement in NR side as starting point.</w:t>
      </w:r>
    </w:p>
    <w:p w14:paraId="36A063AE" w14:textId="73EDC684" w:rsidR="008069C6" w:rsidRPr="008069C6" w:rsidRDefault="008069C6" w:rsidP="008069C6">
      <w:pPr>
        <w:spacing w:before="120" w:after="120"/>
        <w:ind w:left="284"/>
        <w:rPr>
          <w:u w:val="single"/>
        </w:rPr>
      </w:pPr>
      <w:r w:rsidRPr="008069C6">
        <w:rPr>
          <w:u w:val="single"/>
        </w:rPr>
        <w:t>Counting the measurement object</w:t>
      </w:r>
    </w:p>
    <w:p w14:paraId="35D1BEDA" w14:textId="752BCCEC" w:rsidR="00C53FD5" w:rsidRPr="008069C6" w:rsidRDefault="00A41396" w:rsidP="008069C6">
      <w:pPr>
        <w:spacing w:before="120" w:after="120"/>
        <w:ind w:left="284"/>
      </w:pPr>
      <w:r w:rsidRPr="008069C6">
        <w:t>One new and special issue in the measurement for NSA is the consistent measurement object. As mentioned in RAN2 LS [</w:t>
      </w:r>
      <w:r w:rsidR="001D009B">
        <w:t>5</w:t>
      </w:r>
      <w:r w:rsidRPr="008069C6">
        <w:t>], it is possible that a same NR measurement object is configured twice, i.e. both has inter-RAT object from LTE side and intra-inter-frequency object from NR side. Although the exact definition of N</w:t>
      </w:r>
      <w:r w:rsidR="00A35476" w:rsidRPr="008069C6">
        <w:t>R</w:t>
      </w:r>
      <w:r w:rsidRPr="008069C6">
        <w:t xml:space="preserve"> measurement object and consistent object are not clear yet, we believe it is straightforward that the consistent object should be counted only once for both measurement capability and performance scaling</w:t>
      </w:r>
      <w:r w:rsidR="00C53FD5" w:rsidRPr="008069C6">
        <w:t xml:space="preserve">, as in essence it is the same physical layer sampling applied. </w:t>
      </w:r>
    </w:p>
    <w:p w14:paraId="4A937647" w14:textId="30AE06CC" w:rsidR="00A41396" w:rsidRDefault="00C53FD5" w:rsidP="008069C6">
      <w:pPr>
        <w:spacing w:before="120" w:after="120"/>
        <w:ind w:left="284"/>
        <w:rPr>
          <w:b/>
        </w:rPr>
      </w:pPr>
      <w:bookmarkStart w:id="2" w:name="_Hlk490250433"/>
      <w:r w:rsidRPr="008069C6">
        <w:rPr>
          <w:b/>
        </w:rPr>
        <w:t xml:space="preserve">Proposal </w:t>
      </w:r>
      <w:r w:rsidR="008069C6">
        <w:rPr>
          <w:b/>
        </w:rPr>
        <w:t>5</w:t>
      </w:r>
      <w:r w:rsidRPr="008069C6">
        <w:rPr>
          <w:b/>
        </w:rPr>
        <w:t xml:space="preserve">: Consistent measurement object configured in both LTE side and NR side should </w:t>
      </w:r>
      <w:r w:rsidR="008069C6" w:rsidRPr="008069C6">
        <w:rPr>
          <w:b/>
        </w:rPr>
        <w:t xml:space="preserve">be </w:t>
      </w:r>
      <w:r w:rsidRPr="008069C6">
        <w:rPr>
          <w:b/>
        </w:rPr>
        <w:t>counted only once for both measurement capability and performance scaling.</w:t>
      </w:r>
    </w:p>
    <w:bookmarkEnd w:id="2"/>
    <w:p w14:paraId="1F4794EE" w14:textId="1829399E" w:rsidR="00F229F4" w:rsidRDefault="00F229F4" w:rsidP="008069C6">
      <w:pPr>
        <w:spacing w:before="120" w:after="120"/>
        <w:ind w:left="284"/>
        <w:rPr>
          <w:b/>
        </w:rPr>
      </w:pPr>
    </w:p>
    <w:p w14:paraId="4D2917C3" w14:textId="77777777" w:rsidR="00F229F4" w:rsidRPr="00C73565" w:rsidRDefault="00F229F4" w:rsidP="00F229F4">
      <w:pPr>
        <w:spacing w:before="120" w:after="120"/>
        <w:rPr>
          <w:sz w:val="24"/>
          <w:szCs w:val="24"/>
          <w:u w:val="single"/>
          <w:lang w:val="en-US"/>
        </w:rPr>
      </w:pPr>
      <w:r w:rsidRPr="00C73565">
        <w:rPr>
          <w:sz w:val="24"/>
          <w:szCs w:val="24"/>
          <w:u w:val="single"/>
          <w:lang w:val="en-US"/>
        </w:rPr>
        <w:t>Section 9</w:t>
      </w:r>
    </w:p>
    <w:p w14:paraId="00941CFF" w14:textId="1947213F" w:rsidR="00F229F4" w:rsidRPr="00F229F4" w:rsidRDefault="00F229F4" w:rsidP="00F229F4">
      <w:pPr>
        <w:spacing w:before="120" w:after="120"/>
        <w:rPr>
          <w:lang w:val="en-US"/>
        </w:rPr>
      </w:pPr>
      <w:r w:rsidRPr="00C73565">
        <w:rPr>
          <w:lang w:val="en-US"/>
        </w:rPr>
        <w:t xml:space="preserve">Section 9 contains LTE measurement accuracy, including requirements for both requirements on LTE and other RAT. </w:t>
      </w:r>
      <w:r>
        <w:rPr>
          <w:lang w:val="en-US"/>
        </w:rPr>
        <w:t>It was already agreed in the WF, that measurement accuracy and report mapping for NR reference signals should be introduced in 36.133, and that this is done by referring to the requirements defined in 38.133.</w:t>
      </w:r>
    </w:p>
    <w:p w14:paraId="04CBD41D" w14:textId="77777777" w:rsidR="008762D3" w:rsidRPr="008069C6" w:rsidRDefault="008762D3" w:rsidP="008762D3">
      <w:pPr>
        <w:pStyle w:val="Heading1"/>
        <w:numPr>
          <w:ilvl w:val="0"/>
          <w:numId w:val="1"/>
        </w:numPr>
        <w:tabs>
          <w:tab w:val="num" w:pos="45"/>
        </w:tabs>
        <w:ind w:left="405"/>
      </w:pPr>
      <w:r w:rsidRPr="008069C6">
        <w:t xml:space="preserve">Conclusions </w:t>
      </w:r>
    </w:p>
    <w:p w14:paraId="1A95060C" w14:textId="12433B23" w:rsidR="00152B0B" w:rsidRDefault="00AA2B9C" w:rsidP="00AA2B9C">
      <w:pPr>
        <w:spacing w:before="120" w:after="120"/>
        <w:rPr>
          <w:lang w:val="en-US"/>
        </w:rPr>
      </w:pPr>
      <w:r w:rsidRPr="00C7728D">
        <w:rPr>
          <w:lang w:val="en-US"/>
        </w:rPr>
        <w:t xml:space="preserve">In this paper, </w:t>
      </w:r>
      <w:r w:rsidR="00E4133B" w:rsidRPr="00C7728D">
        <w:rPr>
          <w:lang w:val="en-US"/>
        </w:rPr>
        <w:t xml:space="preserve">we provided our views on </w:t>
      </w:r>
      <w:r w:rsidR="00493A6B" w:rsidRPr="00C7728D">
        <w:rPr>
          <w:lang w:val="en-US"/>
        </w:rPr>
        <w:t xml:space="preserve">impact to LTE RRM requirements in 36.133 in order to support </w:t>
      </w:r>
      <w:r w:rsidR="00AC4EA2" w:rsidRPr="00C7728D">
        <w:rPr>
          <w:lang w:val="en-US"/>
        </w:rPr>
        <w:t xml:space="preserve">EN-DC. </w:t>
      </w:r>
      <w:r w:rsidR="00493A6B" w:rsidRPr="00C7728D">
        <w:rPr>
          <w:lang w:val="en-US"/>
        </w:rPr>
        <w:t>We have the following proposals.</w:t>
      </w:r>
    </w:p>
    <w:p w14:paraId="5E33CB60" w14:textId="77777777" w:rsidR="003D5393" w:rsidRPr="00C73565" w:rsidRDefault="003D5393" w:rsidP="003D5393">
      <w:pPr>
        <w:spacing w:before="120" w:after="120"/>
        <w:rPr>
          <w:b/>
        </w:rPr>
      </w:pPr>
      <w:r w:rsidRPr="00C73565">
        <w:rPr>
          <w:b/>
        </w:rPr>
        <w:t xml:space="preserve">Proposal </w:t>
      </w:r>
      <w:r>
        <w:rPr>
          <w:b/>
        </w:rPr>
        <w:t>1</w:t>
      </w:r>
      <w:r w:rsidRPr="00C73565">
        <w:rPr>
          <w:b/>
        </w:rPr>
        <w:t>: There is no impact the following RRM requirements in supporting NSA</w:t>
      </w:r>
    </w:p>
    <w:p w14:paraId="040E12CC" w14:textId="77777777" w:rsidR="003D5393" w:rsidRPr="00C73565" w:rsidRDefault="003D5393" w:rsidP="003D5393">
      <w:pPr>
        <w:numPr>
          <w:ilvl w:val="0"/>
          <w:numId w:val="30"/>
        </w:numPr>
        <w:spacing w:before="120" w:after="120"/>
        <w:rPr>
          <w:b/>
        </w:rPr>
      </w:pPr>
      <w:r w:rsidRPr="00C73565">
        <w:rPr>
          <w:b/>
        </w:rPr>
        <w:t>Section 4, 5, 6, 10, 11, 12 and 13</w:t>
      </w:r>
    </w:p>
    <w:p w14:paraId="578A998F" w14:textId="4BC2A42D" w:rsidR="003D5393" w:rsidRPr="0064264F" w:rsidRDefault="003D5393" w:rsidP="003D5393">
      <w:pPr>
        <w:spacing w:before="120" w:after="120"/>
        <w:rPr>
          <w:b/>
          <w:lang w:val="en-US"/>
        </w:rPr>
      </w:pPr>
      <w:r w:rsidRPr="0064264F">
        <w:rPr>
          <w:b/>
        </w:rPr>
        <w:t>Proposal</w:t>
      </w:r>
      <w:r>
        <w:rPr>
          <w:b/>
        </w:rPr>
        <w:t xml:space="preserve"> 2</w:t>
      </w:r>
      <w:r w:rsidRPr="0064264F">
        <w:rPr>
          <w:b/>
        </w:rPr>
        <w:t>: 20 ms and 50 ms requirement in the equation of T</w:t>
      </w:r>
      <w:r w:rsidRPr="0064264F">
        <w:rPr>
          <w:b/>
          <w:vertAlign w:val="subscript"/>
        </w:rPr>
        <w:t>config_PSCell</w:t>
      </w:r>
      <w:r w:rsidRPr="0064264F">
        <w:rPr>
          <w:b/>
        </w:rPr>
        <w:t xml:space="preserve"> should be checked when defining NR PSCell addition delay requirement.</w:t>
      </w:r>
    </w:p>
    <w:p w14:paraId="62F412C4" w14:textId="77777777" w:rsidR="003D5393" w:rsidRPr="00DF1905" w:rsidRDefault="003D5393" w:rsidP="003D5393">
      <w:pPr>
        <w:spacing w:before="120" w:after="120"/>
        <w:rPr>
          <w:b/>
          <w:lang w:val="en-US"/>
        </w:rPr>
      </w:pPr>
      <w:r w:rsidRPr="00DF1905">
        <w:rPr>
          <w:b/>
          <w:lang w:val="en-US"/>
        </w:rPr>
        <w:t xml:space="preserve">Proposal </w:t>
      </w:r>
      <w:r>
        <w:rPr>
          <w:b/>
          <w:lang w:val="en-US"/>
        </w:rPr>
        <w:t>3</w:t>
      </w:r>
      <w:r w:rsidRPr="00DF1905">
        <w:rPr>
          <w:b/>
          <w:lang w:val="en-US"/>
        </w:rPr>
        <w:t>: The current per-RAT measurement capability as defined in section 8.1.2.1.1.1 is re-used for NSA, and the capability of total number of effective carriers is defined as 7+Y, where Y&lt;=X and where X is number of maximum NR carriers to be supported.</w:t>
      </w:r>
    </w:p>
    <w:p w14:paraId="1098F9B8" w14:textId="4D3B9851" w:rsidR="003D5393" w:rsidRDefault="003D5393" w:rsidP="003D5393">
      <w:pPr>
        <w:spacing w:before="120" w:after="120"/>
        <w:rPr>
          <w:b/>
          <w:lang w:val="en-US"/>
        </w:rPr>
      </w:pPr>
      <w:r w:rsidRPr="008069C6">
        <w:rPr>
          <w:b/>
          <w:lang w:val="en-US"/>
        </w:rPr>
        <w:t xml:space="preserve">Proposal </w:t>
      </w:r>
      <w:r>
        <w:rPr>
          <w:b/>
          <w:lang w:val="en-US"/>
        </w:rPr>
        <w:t>4</w:t>
      </w:r>
      <w:r w:rsidRPr="008069C6">
        <w:rPr>
          <w:b/>
          <w:lang w:val="en-US"/>
        </w:rPr>
        <w:t>: Per carrier measurement performance of inter-RAT NR measurement in LTE side re-uses what are defined for intra-/inter-frequency measurement in NR side as starting point.</w:t>
      </w:r>
    </w:p>
    <w:p w14:paraId="024F3276" w14:textId="67918861" w:rsidR="003D5393" w:rsidRPr="003D5393" w:rsidRDefault="003D5393" w:rsidP="003D5393">
      <w:pPr>
        <w:spacing w:before="120" w:after="120"/>
        <w:rPr>
          <w:b/>
        </w:rPr>
      </w:pPr>
      <w:bookmarkStart w:id="3" w:name="_GoBack"/>
      <w:bookmarkEnd w:id="3"/>
      <w:r w:rsidRPr="008069C6">
        <w:rPr>
          <w:b/>
        </w:rPr>
        <w:t xml:space="preserve">Proposal </w:t>
      </w:r>
      <w:r>
        <w:rPr>
          <w:b/>
        </w:rPr>
        <w:t>5</w:t>
      </w:r>
      <w:r w:rsidRPr="008069C6">
        <w:rPr>
          <w:b/>
        </w:rPr>
        <w:t>: Consistent measurement object configured in both LTE side and NR side should be counted only once for both measurement capability and performance scaling.</w:t>
      </w:r>
    </w:p>
    <w:p w14:paraId="5B229D2F" w14:textId="77777777" w:rsidR="008762D3" w:rsidRPr="00A12982" w:rsidRDefault="008762D3" w:rsidP="008762D3">
      <w:pPr>
        <w:pStyle w:val="Heading1"/>
        <w:numPr>
          <w:ilvl w:val="0"/>
          <w:numId w:val="1"/>
        </w:numPr>
        <w:pBdr>
          <w:top w:val="single" w:sz="12" w:space="6" w:color="auto"/>
        </w:pBdr>
        <w:tabs>
          <w:tab w:val="num" w:pos="45"/>
        </w:tabs>
        <w:ind w:left="405"/>
      </w:pPr>
      <w:r w:rsidRPr="00A12982">
        <w:t>References</w:t>
      </w:r>
    </w:p>
    <w:p w14:paraId="60C492E5" w14:textId="14E65642" w:rsidR="008069C6" w:rsidRDefault="008069C6" w:rsidP="008069C6">
      <w:pPr>
        <w:rPr>
          <w:lang w:val="en-US"/>
        </w:rPr>
      </w:pPr>
      <w:r w:rsidRPr="008069C6">
        <w:t xml:space="preserve">[1] R4-1706608, </w:t>
      </w:r>
      <w:r w:rsidRPr="008069C6">
        <w:rPr>
          <w:lang w:val="en-US"/>
        </w:rPr>
        <w:t>NR RRM way forward, Ericsson, Nokia, 3GPP TSG-RAN WG4 Meeting #NR AH 2, Qingdao, China, May 2017.</w:t>
      </w:r>
    </w:p>
    <w:p w14:paraId="21E900C1" w14:textId="2A9C7D58" w:rsidR="008069C6" w:rsidRDefault="008069C6" w:rsidP="008069C6">
      <w:pPr>
        <w:rPr>
          <w:lang w:val="en-US"/>
        </w:rPr>
      </w:pPr>
      <w:r>
        <w:rPr>
          <w:lang w:val="en-US"/>
        </w:rPr>
        <w:t xml:space="preserve">[2] </w:t>
      </w:r>
      <w:r w:rsidRPr="008069C6">
        <w:rPr>
          <w:lang w:val="en-US"/>
        </w:rPr>
        <w:t>R4-1706798</w:t>
      </w:r>
      <w:r>
        <w:rPr>
          <w:lang w:val="en-US"/>
        </w:rPr>
        <w:t>,</w:t>
      </w:r>
      <w:r w:rsidRPr="008069C6">
        <w:rPr>
          <w:lang w:val="en-US"/>
        </w:rPr>
        <w:tab/>
        <w:t>On expected measurement requirements for NSA NR</w:t>
      </w:r>
      <w:r w:rsidR="00A12982">
        <w:rPr>
          <w:lang w:val="en-US"/>
        </w:rPr>
        <w:t>,</w:t>
      </w:r>
      <w:r w:rsidRPr="008069C6">
        <w:rPr>
          <w:lang w:val="en-US"/>
        </w:rPr>
        <w:tab/>
        <w:t>Nokia, Alcatel-Lucent Shanghai Bell</w:t>
      </w:r>
      <w:r>
        <w:rPr>
          <w:lang w:val="en-US"/>
        </w:rPr>
        <w:t xml:space="preserve">, </w:t>
      </w:r>
      <w:r w:rsidRPr="008069C6">
        <w:rPr>
          <w:lang w:val="en-US"/>
        </w:rPr>
        <w:t>3GPP TSG-RAN WG4 Meeting #NR AH 2, Qingdao, China, May 2017.</w:t>
      </w:r>
    </w:p>
    <w:p w14:paraId="7F815D5C" w14:textId="0E6E26D4" w:rsidR="00A12982" w:rsidRPr="00A12982" w:rsidRDefault="00A12982" w:rsidP="008069C6">
      <w:pPr>
        <w:rPr>
          <w:lang w:val="en-US"/>
        </w:rPr>
      </w:pPr>
      <w:r>
        <w:rPr>
          <w:lang w:val="en-US"/>
        </w:rPr>
        <w:lastRenderedPageBreak/>
        <w:t xml:space="preserve">[3] R4-17xxxxx, </w:t>
      </w:r>
      <w:r>
        <w:rPr>
          <w:noProof/>
        </w:rPr>
        <w:t>NR PSCell Addition and Release Delay for EN-DC</w:t>
      </w:r>
      <w:r>
        <w:t xml:space="preserve">, 3GPP TSG-RAN WG4 Meeting #84, Berlin, Germany, 21 </w:t>
      </w:r>
      <w:r w:rsidR="009B4707">
        <w:t>– 25, August</w:t>
      </w:r>
      <w:r w:rsidRPr="00A12982">
        <w:t xml:space="preserve"> 2017.</w:t>
      </w:r>
    </w:p>
    <w:p w14:paraId="76621814" w14:textId="14DAAA5D" w:rsidR="00A41396" w:rsidRPr="00A12982" w:rsidRDefault="00A12982" w:rsidP="00A12982">
      <w:r w:rsidRPr="00A12982">
        <w:t>[4] R4-170xxxx, Number of carriers to monitor in NR, Nokia, Nokia Shanghai Bell, 3GPP TSG-RAN WG4 Meeting #84, B</w:t>
      </w:r>
      <w:r w:rsidR="009B4707">
        <w:t>erlin, Germany, 21 – 25, August</w:t>
      </w:r>
      <w:r w:rsidRPr="00A12982">
        <w:t xml:space="preserve"> 2017.</w:t>
      </w:r>
    </w:p>
    <w:sectPr w:rsidR="00A41396" w:rsidRPr="00A12982" w:rsidSect="00F23CF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D8D8D" w14:textId="77777777" w:rsidR="00EE4458" w:rsidRDefault="00EE4458">
      <w:pPr>
        <w:spacing w:after="0"/>
      </w:pPr>
      <w:r>
        <w:separator/>
      </w:r>
    </w:p>
  </w:endnote>
  <w:endnote w:type="continuationSeparator" w:id="0">
    <w:p w14:paraId="437FA974" w14:textId="77777777" w:rsidR="00EE4458" w:rsidRDefault="00EE44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E5EE5" w14:textId="77777777" w:rsidR="00EE4458" w:rsidRDefault="00EE4458">
      <w:pPr>
        <w:spacing w:after="0"/>
      </w:pPr>
      <w:r>
        <w:separator/>
      </w:r>
    </w:p>
  </w:footnote>
  <w:footnote w:type="continuationSeparator" w:id="0">
    <w:p w14:paraId="702C4814" w14:textId="77777777" w:rsidR="00EE4458" w:rsidRDefault="00EE44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6781" w14:textId="77777777" w:rsidR="00B5618E" w:rsidRDefault="00B5618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F3F41"/>
    <w:multiLevelType w:val="hybridMultilevel"/>
    <w:tmpl w:val="E8C449E4"/>
    <w:lvl w:ilvl="0" w:tplc="303480F4">
      <w:start w:val="1"/>
      <w:numFmt w:val="bullet"/>
      <w:lvlText w:val="•"/>
      <w:lvlJc w:val="left"/>
      <w:pPr>
        <w:tabs>
          <w:tab w:val="num" w:pos="360"/>
        </w:tabs>
        <w:ind w:left="360" w:hanging="360"/>
      </w:pPr>
      <w:rPr>
        <w:rFonts w:ascii="Arial" w:hAnsi="Arial" w:hint="default"/>
      </w:rPr>
    </w:lvl>
    <w:lvl w:ilvl="1" w:tplc="A40CDDD6">
      <w:start w:val="35"/>
      <w:numFmt w:val="bullet"/>
      <w:lvlText w:val="–"/>
      <w:lvlJc w:val="left"/>
      <w:pPr>
        <w:tabs>
          <w:tab w:val="num" w:pos="1080"/>
        </w:tabs>
        <w:ind w:left="1080" w:hanging="360"/>
      </w:pPr>
      <w:rPr>
        <w:rFonts w:ascii="Arial" w:hAnsi="Arial" w:hint="default"/>
      </w:rPr>
    </w:lvl>
    <w:lvl w:ilvl="2" w:tplc="EC866550" w:tentative="1">
      <w:start w:val="1"/>
      <w:numFmt w:val="bullet"/>
      <w:lvlText w:val="•"/>
      <w:lvlJc w:val="left"/>
      <w:pPr>
        <w:tabs>
          <w:tab w:val="num" w:pos="1800"/>
        </w:tabs>
        <w:ind w:left="1800" w:hanging="360"/>
      </w:pPr>
      <w:rPr>
        <w:rFonts w:ascii="Arial" w:hAnsi="Arial" w:hint="default"/>
      </w:rPr>
    </w:lvl>
    <w:lvl w:ilvl="3" w:tplc="05469D76" w:tentative="1">
      <w:start w:val="1"/>
      <w:numFmt w:val="bullet"/>
      <w:lvlText w:val="•"/>
      <w:lvlJc w:val="left"/>
      <w:pPr>
        <w:tabs>
          <w:tab w:val="num" w:pos="2520"/>
        </w:tabs>
        <w:ind w:left="2520" w:hanging="360"/>
      </w:pPr>
      <w:rPr>
        <w:rFonts w:ascii="Arial" w:hAnsi="Arial" w:hint="default"/>
      </w:rPr>
    </w:lvl>
    <w:lvl w:ilvl="4" w:tplc="2A1A95DC" w:tentative="1">
      <w:start w:val="1"/>
      <w:numFmt w:val="bullet"/>
      <w:lvlText w:val="•"/>
      <w:lvlJc w:val="left"/>
      <w:pPr>
        <w:tabs>
          <w:tab w:val="num" w:pos="3240"/>
        </w:tabs>
        <w:ind w:left="3240" w:hanging="360"/>
      </w:pPr>
      <w:rPr>
        <w:rFonts w:ascii="Arial" w:hAnsi="Arial" w:hint="default"/>
      </w:rPr>
    </w:lvl>
    <w:lvl w:ilvl="5" w:tplc="84B80458" w:tentative="1">
      <w:start w:val="1"/>
      <w:numFmt w:val="bullet"/>
      <w:lvlText w:val="•"/>
      <w:lvlJc w:val="left"/>
      <w:pPr>
        <w:tabs>
          <w:tab w:val="num" w:pos="3960"/>
        </w:tabs>
        <w:ind w:left="3960" w:hanging="360"/>
      </w:pPr>
      <w:rPr>
        <w:rFonts w:ascii="Arial" w:hAnsi="Arial" w:hint="default"/>
      </w:rPr>
    </w:lvl>
    <w:lvl w:ilvl="6" w:tplc="F62214D0" w:tentative="1">
      <w:start w:val="1"/>
      <w:numFmt w:val="bullet"/>
      <w:lvlText w:val="•"/>
      <w:lvlJc w:val="left"/>
      <w:pPr>
        <w:tabs>
          <w:tab w:val="num" w:pos="4680"/>
        </w:tabs>
        <w:ind w:left="4680" w:hanging="360"/>
      </w:pPr>
      <w:rPr>
        <w:rFonts w:ascii="Arial" w:hAnsi="Arial" w:hint="default"/>
      </w:rPr>
    </w:lvl>
    <w:lvl w:ilvl="7" w:tplc="C1AA2B04" w:tentative="1">
      <w:start w:val="1"/>
      <w:numFmt w:val="bullet"/>
      <w:lvlText w:val="•"/>
      <w:lvlJc w:val="left"/>
      <w:pPr>
        <w:tabs>
          <w:tab w:val="num" w:pos="5400"/>
        </w:tabs>
        <w:ind w:left="5400" w:hanging="360"/>
      </w:pPr>
      <w:rPr>
        <w:rFonts w:ascii="Arial" w:hAnsi="Arial" w:hint="default"/>
      </w:rPr>
    </w:lvl>
    <w:lvl w:ilvl="8" w:tplc="AA32E58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11B32496"/>
    <w:multiLevelType w:val="hybridMultilevel"/>
    <w:tmpl w:val="65D40978"/>
    <w:lvl w:ilvl="0" w:tplc="808E50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524BF"/>
    <w:multiLevelType w:val="hybridMultilevel"/>
    <w:tmpl w:val="C4F0C26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EA7CDB"/>
    <w:multiLevelType w:val="hybridMultilevel"/>
    <w:tmpl w:val="6C30D35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02E1F99"/>
    <w:multiLevelType w:val="hybridMultilevel"/>
    <w:tmpl w:val="5C269BA2"/>
    <w:lvl w:ilvl="0" w:tplc="2474C8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2E378B4"/>
    <w:multiLevelType w:val="multilevel"/>
    <w:tmpl w:val="BE30A742"/>
    <w:lvl w:ilvl="0">
      <w:start w:val="1"/>
      <w:numFmt w:val="decimal"/>
      <w:lvlText w:val="%1"/>
      <w:lvlJc w:val="left"/>
      <w:pPr>
        <w:ind w:left="431" w:hanging="431"/>
      </w:pPr>
      <w:rPr>
        <w:rFonts w:hint="default"/>
        <w:lang w:val="en-US"/>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0" w15:restartNumberingAfterBreak="0">
    <w:nsid w:val="3361601E"/>
    <w:multiLevelType w:val="hybridMultilevel"/>
    <w:tmpl w:val="D5361942"/>
    <w:lvl w:ilvl="0" w:tplc="BB60C1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2D0BCD"/>
    <w:multiLevelType w:val="hybridMultilevel"/>
    <w:tmpl w:val="CD6EA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8309AC"/>
    <w:multiLevelType w:val="hybridMultilevel"/>
    <w:tmpl w:val="7CBEF18E"/>
    <w:lvl w:ilvl="0" w:tplc="C5922B42">
      <w:start w:val="1"/>
      <w:numFmt w:val="bullet"/>
      <w:lvlText w:val=""/>
      <w:lvlJc w:val="left"/>
      <w:pPr>
        <w:ind w:left="702" w:hanging="420"/>
      </w:pPr>
      <w:rPr>
        <w:rFonts w:ascii="Symbol" w:hAnsi="Symbol"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44BB7BE1"/>
    <w:multiLevelType w:val="hybridMultilevel"/>
    <w:tmpl w:val="56EE695A"/>
    <w:lvl w:ilvl="0" w:tplc="A5D6B2A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29240C"/>
    <w:multiLevelType w:val="hybridMultilevel"/>
    <w:tmpl w:val="7FBCBBA6"/>
    <w:lvl w:ilvl="0" w:tplc="BC80FF2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02B49"/>
    <w:multiLevelType w:val="hybridMultilevel"/>
    <w:tmpl w:val="91A60ACE"/>
    <w:lvl w:ilvl="0" w:tplc="3DEE52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814220"/>
    <w:multiLevelType w:val="hybridMultilevel"/>
    <w:tmpl w:val="00DC3D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C2E226D"/>
    <w:multiLevelType w:val="hybridMultilevel"/>
    <w:tmpl w:val="7B3ADC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FF2BB9"/>
    <w:multiLevelType w:val="hybridMultilevel"/>
    <w:tmpl w:val="794CFC92"/>
    <w:lvl w:ilvl="0" w:tplc="107CA8A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B90BF6"/>
    <w:multiLevelType w:val="hybridMultilevel"/>
    <w:tmpl w:val="1C869C80"/>
    <w:lvl w:ilvl="0" w:tplc="41FCBEA8">
      <w:start w:val="1"/>
      <w:numFmt w:val="bullet"/>
      <w:lvlText w:val="–"/>
      <w:lvlJc w:val="left"/>
      <w:pPr>
        <w:tabs>
          <w:tab w:val="num" w:pos="720"/>
        </w:tabs>
        <w:ind w:left="720" w:hanging="360"/>
      </w:pPr>
      <w:rPr>
        <w:rFonts w:ascii="Arial" w:hAnsi="Arial" w:hint="default"/>
      </w:rPr>
    </w:lvl>
    <w:lvl w:ilvl="1" w:tplc="B1BCFE9C">
      <w:start w:val="1"/>
      <w:numFmt w:val="bullet"/>
      <w:lvlText w:val="–"/>
      <w:lvlJc w:val="left"/>
      <w:pPr>
        <w:tabs>
          <w:tab w:val="num" w:pos="1440"/>
        </w:tabs>
        <w:ind w:left="1440" w:hanging="360"/>
      </w:pPr>
      <w:rPr>
        <w:rFonts w:ascii="Arial" w:hAnsi="Arial" w:hint="default"/>
      </w:rPr>
    </w:lvl>
    <w:lvl w:ilvl="2" w:tplc="357E75AE" w:tentative="1">
      <w:start w:val="1"/>
      <w:numFmt w:val="bullet"/>
      <w:lvlText w:val="–"/>
      <w:lvlJc w:val="left"/>
      <w:pPr>
        <w:tabs>
          <w:tab w:val="num" w:pos="2160"/>
        </w:tabs>
        <w:ind w:left="2160" w:hanging="360"/>
      </w:pPr>
      <w:rPr>
        <w:rFonts w:ascii="Arial" w:hAnsi="Arial" w:hint="default"/>
      </w:rPr>
    </w:lvl>
    <w:lvl w:ilvl="3" w:tplc="2EFCF11C" w:tentative="1">
      <w:start w:val="1"/>
      <w:numFmt w:val="bullet"/>
      <w:lvlText w:val="–"/>
      <w:lvlJc w:val="left"/>
      <w:pPr>
        <w:tabs>
          <w:tab w:val="num" w:pos="2880"/>
        </w:tabs>
        <w:ind w:left="2880" w:hanging="360"/>
      </w:pPr>
      <w:rPr>
        <w:rFonts w:ascii="Arial" w:hAnsi="Arial" w:hint="default"/>
      </w:rPr>
    </w:lvl>
    <w:lvl w:ilvl="4" w:tplc="8264D1F6" w:tentative="1">
      <w:start w:val="1"/>
      <w:numFmt w:val="bullet"/>
      <w:lvlText w:val="–"/>
      <w:lvlJc w:val="left"/>
      <w:pPr>
        <w:tabs>
          <w:tab w:val="num" w:pos="3600"/>
        </w:tabs>
        <w:ind w:left="3600" w:hanging="360"/>
      </w:pPr>
      <w:rPr>
        <w:rFonts w:ascii="Arial" w:hAnsi="Arial" w:hint="default"/>
      </w:rPr>
    </w:lvl>
    <w:lvl w:ilvl="5" w:tplc="64464766" w:tentative="1">
      <w:start w:val="1"/>
      <w:numFmt w:val="bullet"/>
      <w:lvlText w:val="–"/>
      <w:lvlJc w:val="left"/>
      <w:pPr>
        <w:tabs>
          <w:tab w:val="num" w:pos="4320"/>
        </w:tabs>
        <w:ind w:left="4320" w:hanging="360"/>
      </w:pPr>
      <w:rPr>
        <w:rFonts w:ascii="Arial" w:hAnsi="Arial" w:hint="default"/>
      </w:rPr>
    </w:lvl>
    <w:lvl w:ilvl="6" w:tplc="80B292A6" w:tentative="1">
      <w:start w:val="1"/>
      <w:numFmt w:val="bullet"/>
      <w:lvlText w:val="–"/>
      <w:lvlJc w:val="left"/>
      <w:pPr>
        <w:tabs>
          <w:tab w:val="num" w:pos="5040"/>
        </w:tabs>
        <w:ind w:left="5040" w:hanging="360"/>
      </w:pPr>
      <w:rPr>
        <w:rFonts w:ascii="Arial" w:hAnsi="Arial" w:hint="default"/>
      </w:rPr>
    </w:lvl>
    <w:lvl w:ilvl="7" w:tplc="7F5430FE" w:tentative="1">
      <w:start w:val="1"/>
      <w:numFmt w:val="bullet"/>
      <w:lvlText w:val="–"/>
      <w:lvlJc w:val="left"/>
      <w:pPr>
        <w:tabs>
          <w:tab w:val="num" w:pos="5760"/>
        </w:tabs>
        <w:ind w:left="5760" w:hanging="360"/>
      </w:pPr>
      <w:rPr>
        <w:rFonts w:ascii="Arial" w:hAnsi="Arial" w:hint="default"/>
      </w:rPr>
    </w:lvl>
    <w:lvl w:ilvl="8" w:tplc="FD4280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F55628"/>
    <w:multiLevelType w:val="hybridMultilevel"/>
    <w:tmpl w:val="1B80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6EBE3AAE"/>
    <w:multiLevelType w:val="hybridMultilevel"/>
    <w:tmpl w:val="34B0C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AF0632"/>
    <w:multiLevelType w:val="hybridMultilevel"/>
    <w:tmpl w:val="E26622DC"/>
    <w:lvl w:ilvl="0" w:tplc="3BEA07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B975DC"/>
    <w:multiLevelType w:val="hybridMultilevel"/>
    <w:tmpl w:val="3E1E72E4"/>
    <w:lvl w:ilvl="0" w:tplc="F828CD44">
      <w:start w:val="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8540641"/>
    <w:multiLevelType w:val="hybridMultilevel"/>
    <w:tmpl w:val="44A01A00"/>
    <w:lvl w:ilvl="0" w:tplc="B642B20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7F8A20EE"/>
    <w:multiLevelType w:val="hybridMultilevel"/>
    <w:tmpl w:val="F7BA4CCC"/>
    <w:lvl w:ilvl="0" w:tplc="98047784">
      <w:start w:val="1"/>
      <w:numFmt w:val="bullet"/>
      <w:lvlText w:val="•"/>
      <w:lvlJc w:val="left"/>
      <w:pPr>
        <w:tabs>
          <w:tab w:val="num" w:pos="360"/>
        </w:tabs>
        <w:ind w:left="360" w:hanging="360"/>
      </w:pPr>
      <w:rPr>
        <w:rFonts w:ascii="Arial" w:hAnsi="Arial" w:hint="default"/>
      </w:rPr>
    </w:lvl>
    <w:lvl w:ilvl="1" w:tplc="60E46F2C">
      <w:start w:val="41"/>
      <w:numFmt w:val="bullet"/>
      <w:lvlText w:val="•"/>
      <w:lvlJc w:val="left"/>
      <w:pPr>
        <w:tabs>
          <w:tab w:val="num" w:pos="1080"/>
        </w:tabs>
        <w:ind w:left="1080" w:hanging="360"/>
      </w:pPr>
      <w:rPr>
        <w:rFonts w:ascii="Arial" w:hAnsi="Arial" w:hint="default"/>
      </w:rPr>
    </w:lvl>
    <w:lvl w:ilvl="2" w:tplc="6BB0A664" w:tentative="1">
      <w:start w:val="1"/>
      <w:numFmt w:val="bullet"/>
      <w:lvlText w:val="•"/>
      <w:lvlJc w:val="left"/>
      <w:pPr>
        <w:tabs>
          <w:tab w:val="num" w:pos="1800"/>
        </w:tabs>
        <w:ind w:left="1800" w:hanging="360"/>
      </w:pPr>
      <w:rPr>
        <w:rFonts w:ascii="Arial" w:hAnsi="Arial" w:hint="default"/>
      </w:rPr>
    </w:lvl>
    <w:lvl w:ilvl="3" w:tplc="CB18FCBA" w:tentative="1">
      <w:start w:val="1"/>
      <w:numFmt w:val="bullet"/>
      <w:lvlText w:val="•"/>
      <w:lvlJc w:val="left"/>
      <w:pPr>
        <w:tabs>
          <w:tab w:val="num" w:pos="2520"/>
        </w:tabs>
        <w:ind w:left="2520" w:hanging="360"/>
      </w:pPr>
      <w:rPr>
        <w:rFonts w:ascii="Arial" w:hAnsi="Arial" w:hint="default"/>
      </w:rPr>
    </w:lvl>
    <w:lvl w:ilvl="4" w:tplc="171A7F7E" w:tentative="1">
      <w:start w:val="1"/>
      <w:numFmt w:val="bullet"/>
      <w:lvlText w:val="•"/>
      <w:lvlJc w:val="left"/>
      <w:pPr>
        <w:tabs>
          <w:tab w:val="num" w:pos="3240"/>
        </w:tabs>
        <w:ind w:left="3240" w:hanging="360"/>
      </w:pPr>
      <w:rPr>
        <w:rFonts w:ascii="Arial" w:hAnsi="Arial" w:hint="default"/>
      </w:rPr>
    </w:lvl>
    <w:lvl w:ilvl="5" w:tplc="AC20BB24" w:tentative="1">
      <w:start w:val="1"/>
      <w:numFmt w:val="bullet"/>
      <w:lvlText w:val="•"/>
      <w:lvlJc w:val="left"/>
      <w:pPr>
        <w:tabs>
          <w:tab w:val="num" w:pos="3960"/>
        </w:tabs>
        <w:ind w:left="3960" w:hanging="360"/>
      </w:pPr>
      <w:rPr>
        <w:rFonts w:ascii="Arial" w:hAnsi="Arial" w:hint="default"/>
      </w:rPr>
    </w:lvl>
    <w:lvl w:ilvl="6" w:tplc="C9B6C510" w:tentative="1">
      <w:start w:val="1"/>
      <w:numFmt w:val="bullet"/>
      <w:lvlText w:val="•"/>
      <w:lvlJc w:val="left"/>
      <w:pPr>
        <w:tabs>
          <w:tab w:val="num" w:pos="4680"/>
        </w:tabs>
        <w:ind w:left="4680" w:hanging="360"/>
      </w:pPr>
      <w:rPr>
        <w:rFonts w:ascii="Arial" w:hAnsi="Arial" w:hint="default"/>
      </w:rPr>
    </w:lvl>
    <w:lvl w:ilvl="7" w:tplc="ACDA9258" w:tentative="1">
      <w:start w:val="1"/>
      <w:numFmt w:val="bullet"/>
      <w:lvlText w:val="•"/>
      <w:lvlJc w:val="left"/>
      <w:pPr>
        <w:tabs>
          <w:tab w:val="num" w:pos="5400"/>
        </w:tabs>
        <w:ind w:left="5400" w:hanging="360"/>
      </w:pPr>
      <w:rPr>
        <w:rFonts w:ascii="Arial" w:hAnsi="Arial" w:hint="default"/>
      </w:rPr>
    </w:lvl>
    <w:lvl w:ilvl="8" w:tplc="A190A6A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28"/>
  </w:num>
  <w:num w:numId="11">
    <w:abstractNumId w:val="11"/>
  </w:num>
  <w:num w:numId="12">
    <w:abstractNumId w:val="5"/>
  </w:num>
  <w:num w:numId="13">
    <w:abstractNumId w:val="7"/>
  </w:num>
  <w:num w:numId="14">
    <w:abstractNumId w:val="31"/>
  </w:num>
  <w:num w:numId="15">
    <w:abstractNumId w:val="29"/>
  </w:num>
  <w:num w:numId="16">
    <w:abstractNumId w:val="27"/>
  </w:num>
  <w:num w:numId="17">
    <w:abstractNumId w:val="32"/>
  </w:num>
  <w:num w:numId="18">
    <w:abstractNumId w:val="0"/>
  </w:num>
  <w:num w:numId="19">
    <w:abstractNumId w:val="22"/>
  </w:num>
  <w:num w:numId="20">
    <w:abstractNumId w:val="21"/>
  </w:num>
  <w:num w:numId="21">
    <w:abstractNumId w:val="20"/>
  </w:num>
  <w:num w:numId="22">
    <w:abstractNumId w:val="13"/>
  </w:num>
  <w:num w:numId="23">
    <w:abstractNumId w:val="16"/>
  </w:num>
  <w:num w:numId="24">
    <w:abstractNumId w:val="26"/>
  </w:num>
  <w:num w:numId="25">
    <w:abstractNumId w:val="2"/>
  </w:num>
  <w:num w:numId="26">
    <w:abstractNumId w:val="25"/>
  </w:num>
  <w:num w:numId="27">
    <w:abstractNumId w:val="12"/>
  </w:num>
  <w:num w:numId="28">
    <w:abstractNumId w:val="14"/>
  </w:num>
  <w:num w:numId="29">
    <w:abstractNumId w:val="23"/>
  </w:num>
  <w:num w:numId="30">
    <w:abstractNumId w:val="15"/>
  </w:num>
  <w:num w:numId="31">
    <w:abstractNumId w:val="17"/>
  </w:num>
  <w:num w:numId="32">
    <w:abstractNumId w:val="4"/>
  </w:num>
  <w:num w:numId="33">
    <w:abstractNumId w:val="3"/>
  </w:num>
  <w:num w:numId="3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1C58"/>
    <w:rsid w:val="00001DE6"/>
    <w:rsid w:val="00002700"/>
    <w:rsid w:val="00002F47"/>
    <w:rsid w:val="000042D6"/>
    <w:rsid w:val="00004426"/>
    <w:rsid w:val="0000454D"/>
    <w:rsid w:val="00010EFE"/>
    <w:rsid w:val="00011E42"/>
    <w:rsid w:val="000121B9"/>
    <w:rsid w:val="00012D2C"/>
    <w:rsid w:val="0001379F"/>
    <w:rsid w:val="00013A17"/>
    <w:rsid w:val="00014A32"/>
    <w:rsid w:val="00014B9F"/>
    <w:rsid w:val="00014E04"/>
    <w:rsid w:val="00015731"/>
    <w:rsid w:val="000172F0"/>
    <w:rsid w:val="00020F15"/>
    <w:rsid w:val="000232AC"/>
    <w:rsid w:val="0002401B"/>
    <w:rsid w:val="0002445C"/>
    <w:rsid w:val="00024952"/>
    <w:rsid w:val="00027C89"/>
    <w:rsid w:val="00027F8D"/>
    <w:rsid w:val="00030BE4"/>
    <w:rsid w:val="00036003"/>
    <w:rsid w:val="000374E6"/>
    <w:rsid w:val="000379E3"/>
    <w:rsid w:val="00042374"/>
    <w:rsid w:val="00043A70"/>
    <w:rsid w:val="00043F2B"/>
    <w:rsid w:val="00047786"/>
    <w:rsid w:val="000501A7"/>
    <w:rsid w:val="00050957"/>
    <w:rsid w:val="00050FDF"/>
    <w:rsid w:val="00051228"/>
    <w:rsid w:val="000513A9"/>
    <w:rsid w:val="00051C66"/>
    <w:rsid w:val="00051CD8"/>
    <w:rsid w:val="00051D74"/>
    <w:rsid w:val="00052D7D"/>
    <w:rsid w:val="00053856"/>
    <w:rsid w:val="00055DFA"/>
    <w:rsid w:val="0005628B"/>
    <w:rsid w:val="00056E8E"/>
    <w:rsid w:val="000611E6"/>
    <w:rsid w:val="00061A8B"/>
    <w:rsid w:val="00064FFA"/>
    <w:rsid w:val="00066378"/>
    <w:rsid w:val="000665E2"/>
    <w:rsid w:val="00067490"/>
    <w:rsid w:val="00070143"/>
    <w:rsid w:val="00071F19"/>
    <w:rsid w:val="00072422"/>
    <w:rsid w:val="000743EA"/>
    <w:rsid w:val="0007586B"/>
    <w:rsid w:val="000759DE"/>
    <w:rsid w:val="0007628F"/>
    <w:rsid w:val="00076E24"/>
    <w:rsid w:val="00077ABA"/>
    <w:rsid w:val="00077B97"/>
    <w:rsid w:val="0008069E"/>
    <w:rsid w:val="00080CB1"/>
    <w:rsid w:val="00083D86"/>
    <w:rsid w:val="00083F27"/>
    <w:rsid w:val="0008436E"/>
    <w:rsid w:val="00084F82"/>
    <w:rsid w:val="00085F5D"/>
    <w:rsid w:val="000864C9"/>
    <w:rsid w:val="00086BA4"/>
    <w:rsid w:val="0009013E"/>
    <w:rsid w:val="00090AED"/>
    <w:rsid w:val="00090D23"/>
    <w:rsid w:val="000932EC"/>
    <w:rsid w:val="00093EA2"/>
    <w:rsid w:val="00095C02"/>
    <w:rsid w:val="00096EC1"/>
    <w:rsid w:val="000A03D7"/>
    <w:rsid w:val="000A0A66"/>
    <w:rsid w:val="000A2BE0"/>
    <w:rsid w:val="000A3D85"/>
    <w:rsid w:val="000A4829"/>
    <w:rsid w:val="000A4BDA"/>
    <w:rsid w:val="000A5436"/>
    <w:rsid w:val="000A5472"/>
    <w:rsid w:val="000A60B5"/>
    <w:rsid w:val="000A61B9"/>
    <w:rsid w:val="000A687D"/>
    <w:rsid w:val="000A6F30"/>
    <w:rsid w:val="000B2FA5"/>
    <w:rsid w:val="000B3B52"/>
    <w:rsid w:val="000B3FF7"/>
    <w:rsid w:val="000B50B8"/>
    <w:rsid w:val="000B7A1F"/>
    <w:rsid w:val="000C27A7"/>
    <w:rsid w:val="000C477C"/>
    <w:rsid w:val="000C5F96"/>
    <w:rsid w:val="000C63EE"/>
    <w:rsid w:val="000D02A6"/>
    <w:rsid w:val="000D048A"/>
    <w:rsid w:val="000D0ACB"/>
    <w:rsid w:val="000D0D3B"/>
    <w:rsid w:val="000D0EA2"/>
    <w:rsid w:val="000D4F44"/>
    <w:rsid w:val="000D568E"/>
    <w:rsid w:val="000D5DF9"/>
    <w:rsid w:val="000D6E4B"/>
    <w:rsid w:val="000D75D4"/>
    <w:rsid w:val="000E04B1"/>
    <w:rsid w:val="000E0D73"/>
    <w:rsid w:val="000E1371"/>
    <w:rsid w:val="000E270B"/>
    <w:rsid w:val="000E628F"/>
    <w:rsid w:val="000E76E9"/>
    <w:rsid w:val="000F0813"/>
    <w:rsid w:val="000F0E08"/>
    <w:rsid w:val="000F2378"/>
    <w:rsid w:val="000F4522"/>
    <w:rsid w:val="00100B58"/>
    <w:rsid w:val="00101F2D"/>
    <w:rsid w:val="00102195"/>
    <w:rsid w:val="00104CBE"/>
    <w:rsid w:val="00104E99"/>
    <w:rsid w:val="001050E0"/>
    <w:rsid w:val="001057EF"/>
    <w:rsid w:val="00105BE8"/>
    <w:rsid w:val="00106C26"/>
    <w:rsid w:val="00106D6C"/>
    <w:rsid w:val="0010741D"/>
    <w:rsid w:val="001074F9"/>
    <w:rsid w:val="00110C28"/>
    <w:rsid w:val="00114659"/>
    <w:rsid w:val="001151B7"/>
    <w:rsid w:val="00115CE1"/>
    <w:rsid w:val="00116C5C"/>
    <w:rsid w:val="00116D84"/>
    <w:rsid w:val="0012202C"/>
    <w:rsid w:val="001226B5"/>
    <w:rsid w:val="00123401"/>
    <w:rsid w:val="001253DD"/>
    <w:rsid w:val="00125623"/>
    <w:rsid w:val="00126A2A"/>
    <w:rsid w:val="00127285"/>
    <w:rsid w:val="0012795F"/>
    <w:rsid w:val="00131859"/>
    <w:rsid w:val="00131C8F"/>
    <w:rsid w:val="00131D21"/>
    <w:rsid w:val="001323B8"/>
    <w:rsid w:val="00132D86"/>
    <w:rsid w:val="0013420B"/>
    <w:rsid w:val="00136F4F"/>
    <w:rsid w:val="00136FF3"/>
    <w:rsid w:val="00140598"/>
    <w:rsid w:val="0014290C"/>
    <w:rsid w:val="00143A1C"/>
    <w:rsid w:val="00143F07"/>
    <w:rsid w:val="0014495F"/>
    <w:rsid w:val="001453C5"/>
    <w:rsid w:val="001468A1"/>
    <w:rsid w:val="00146AFA"/>
    <w:rsid w:val="00150CEA"/>
    <w:rsid w:val="0015268C"/>
    <w:rsid w:val="00152B0B"/>
    <w:rsid w:val="0015375A"/>
    <w:rsid w:val="001537A0"/>
    <w:rsid w:val="001539C1"/>
    <w:rsid w:val="00153DAA"/>
    <w:rsid w:val="00154155"/>
    <w:rsid w:val="001543DB"/>
    <w:rsid w:val="00154A7E"/>
    <w:rsid w:val="00157CBB"/>
    <w:rsid w:val="00160D8A"/>
    <w:rsid w:val="00160F07"/>
    <w:rsid w:val="0016180E"/>
    <w:rsid w:val="00161A47"/>
    <w:rsid w:val="00161EC3"/>
    <w:rsid w:val="001629DA"/>
    <w:rsid w:val="00162C54"/>
    <w:rsid w:val="00164ADD"/>
    <w:rsid w:val="001651F2"/>
    <w:rsid w:val="00165C3F"/>
    <w:rsid w:val="00166D26"/>
    <w:rsid w:val="00167085"/>
    <w:rsid w:val="00167145"/>
    <w:rsid w:val="00167193"/>
    <w:rsid w:val="001707DA"/>
    <w:rsid w:val="00170BF1"/>
    <w:rsid w:val="001724EB"/>
    <w:rsid w:val="00173543"/>
    <w:rsid w:val="0017551F"/>
    <w:rsid w:val="0017606D"/>
    <w:rsid w:val="00176A55"/>
    <w:rsid w:val="0018073F"/>
    <w:rsid w:val="00181590"/>
    <w:rsid w:val="001815DD"/>
    <w:rsid w:val="0018183B"/>
    <w:rsid w:val="00181B61"/>
    <w:rsid w:val="00181BCF"/>
    <w:rsid w:val="00181CEE"/>
    <w:rsid w:val="00181FA1"/>
    <w:rsid w:val="00183650"/>
    <w:rsid w:val="00186919"/>
    <w:rsid w:val="00186B9D"/>
    <w:rsid w:val="001913E2"/>
    <w:rsid w:val="001915B6"/>
    <w:rsid w:val="00191BC8"/>
    <w:rsid w:val="00193088"/>
    <w:rsid w:val="001939E6"/>
    <w:rsid w:val="0019671F"/>
    <w:rsid w:val="00196A2A"/>
    <w:rsid w:val="001978ED"/>
    <w:rsid w:val="001A1769"/>
    <w:rsid w:val="001A191A"/>
    <w:rsid w:val="001A20A9"/>
    <w:rsid w:val="001A2B25"/>
    <w:rsid w:val="001A417A"/>
    <w:rsid w:val="001A4C19"/>
    <w:rsid w:val="001A6A46"/>
    <w:rsid w:val="001B29A6"/>
    <w:rsid w:val="001B2F6B"/>
    <w:rsid w:val="001B4455"/>
    <w:rsid w:val="001B4868"/>
    <w:rsid w:val="001B6616"/>
    <w:rsid w:val="001B7DF4"/>
    <w:rsid w:val="001C0EAB"/>
    <w:rsid w:val="001C26AC"/>
    <w:rsid w:val="001C4B85"/>
    <w:rsid w:val="001C5179"/>
    <w:rsid w:val="001C702C"/>
    <w:rsid w:val="001C7149"/>
    <w:rsid w:val="001C7791"/>
    <w:rsid w:val="001D009B"/>
    <w:rsid w:val="001D151E"/>
    <w:rsid w:val="001D2A72"/>
    <w:rsid w:val="001D328D"/>
    <w:rsid w:val="001D37D7"/>
    <w:rsid w:val="001D39BA"/>
    <w:rsid w:val="001D48F2"/>
    <w:rsid w:val="001D4B53"/>
    <w:rsid w:val="001D6D0E"/>
    <w:rsid w:val="001E0469"/>
    <w:rsid w:val="001E2CE1"/>
    <w:rsid w:val="001E3075"/>
    <w:rsid w:val="001E3B47"/>
    <w:rsid w:val="001E6458"/>
    <w:rsid w:val="001E6DE9"/>
    <w:rsid w:val="001F1175"/>
    <w:rsid w:val="001F1798"/>
    <w:rsid w:val="001F186B"/>
    <w:rsid w:val="001F2198"/>
    <w:rsid w:val="001F21FD"/>
    <w:rsid w:val="001F45F8"/>
    <w:rsid w:val="001F4FF0"/>
    <w:rsid w:val="001F501E"/>
    <w:rsid w:val="001F77CF"/>
    <w:rsid w:val="002001D3"/>
    <w:rsid w:val="00202367"/>
    <w:rsid w:val="00202BD6"/>
    <w:rsid w:val="0020326C"/>
    <w:rsid w:val="002039D1"/>
    <w:rsid w:val="00204F5A"/>
    <w:rsid w:val="002057C6"/>
    <w:rsid w:val="002069B0"/>
    <w:rsid w:val="00210DE4"/>
    <w:rsid w:val="00212980"/>
    <w:rsid w:val="00217918"/>
    <w:rsid w:val="00220573"/>
    <w:rsid w:val="00222B6C"/>
    <w:rsid w:val="0022429E"/>
    <w:rsid w:val="00225918"/>
    <w:rsid w:val="0022595C"/>
    <w:rsid w:val="002259C3"/>
    <w:rsid w:val="002267BF"/>
    <w:rsid w:val="00226BE5"/>
    <w:rsid w:val="00227F6F"/>
    <w:rsid w:val="00231F64"/>
    <w:rsid w:val="00232B76"/>
    <w:rsid w:val="00233691"/>
    <w:rsid w:val="0023704B"/>
    <w:rsid w:val="002370E3"/>
    <w:rsid w:val="00240F73"/>
    <w:rsid w:val="00241772"/>
    <w:rsid w:val="00242C88"/>
    <w:rsid w:val="00243104"/>
    <w:rsid w:val="002437DB"/>
    <w:rsid w:val="00243F02"/>
    <w:rsid w:val="002440BA"/>
    <w:rsid w:val="00244895"/>
    <w:rsid w:val="00245396"/>
    <w:rsid w:val="00245B24"/>
    <w:rsid w:val="002468A1"/>
    <w:rsid w:val="002469CE"/>
    <w:rsid w:val="00246B5A"/>
    <w:rsid w:val="002472F3"/>
    <w:rsid w:val="00247F71"/>
    <w:rsid w:val="002509D0"/>
    <w:rsid w:val="002516CF"/>
    <w:rsid w:val="00251914"/>
    <w:rsid w:val="0025192F"/>
    <w:rsid w:val="00252836"/>
    <w:rsid w:val="002534B2"/>
    <w:rsid w:val="00253FF9"/>
    <w:rsid w:val="00254719"/>
    <w:rsid w:val="00255253"/>
    <w:rsid w:val="00255875"/>
    <w:rsid w:val="0025589E"/>
    <w:rsid w:val="00255AE2"/>
    <w:rsid w:val="00256015"/>
    <w:rsid w:val="002563BB"/>
    <w:rsid w:val="00256516"/>
    <w:rsid w:val="00257570"/>
    <w:rsid w:val="00257E94"/>
    <w:rsid w:val="00257F85"/>
    <w:rsid w:val="00261101"/>
    <w:rsid w:val="00261B87"/>
    <w:rsid w:val="002644FB"/>
    <w:rsid w:val="00264A3D"/>
    <w:rsid w:val="00264B60"/>
    <w:rsid w:val="00264C92"/>
    <w:rsid w:val="00264F5F"/>
    <w:rsid w:val="00265631"/>
    <w:rsid w:val="00265E5A"/>
    <w:rsid w:val="00267D8C"/>
    <w:rsid w:val="002701AE"/>
    <w:rsid w:val="002704FD"/>
    <w:rsid w:val="0027279B"/>
    <w:rsid w:val="002753D4"/>
    <w:rsid w:val="002766B8"/>
    <w:rsid w:val="00281D8D"/>
    <w:rsid w:val="002820DD"/>
    <w:rsid w:val="0028406D"/>
    <w:rsid w:val="0028645D"/>
    <w:rsid w:val="00286568"/>
    <w:rsid w:val="00286D9D"/>
    <w:rsid w:val="002872D4"/>
    <w:rsid w:val="00290042"/>
    <w:rsid w:val="002917B0"/>
    <w:rsid w:val="00294AB0"/>
    <w:rsid w:val="00295713"/>
    <w:rsid w:val="00297FE8"/>
    <w:rsid w:val="002A0E9E"/>
    <w:rsid w:val="002A1469"/>
    <w:rsid w:val="002A15DE"/>
    <w:rsid w:val="002A1643"/>
    <w:rsid w:val="002A2075"/>
    <w:rsid w:val="002A2579"/>
    <w:rsid w:val="002A4994"/>
    <w:rsid w:val="002A4DDD"/>
    <w:rsid w:val="002A5C7D"/>
    <w:rsid w:val="002B082E"/>
    <w:rsid w:val="002B2138"/>
    <w:rsid w:val="002B3000"/>
    <w:rsid w:val="002B32CE"/>
    <w:rsid w:val="002B3600"/>
    <w:rsid w:val="002B60E4"/>
    <w:rsid w:val="002B7251"/>
    <w:rsid w:val="002B75FE"/>
    <w:rsid w:val="002C17AC"/>
    <w:rsid w:val="002C254E"/>
    <w:rsid w:val="002C2A36"/>
    <w:rsid w:val="002C49AA"/>
    <w:rsid w:val="002C4AF3"/>
    <w:rsid w:val="002C5AF4"/>
    <w:rsid w:val="002C635A"/>
    <w:rsid w:val="002C6584"/>
    <w:rsid w:val="002C7D3E"/>
    <w:rsid w:val="002D1643"/>
    <w:rsid w:val="002D1A9E"/>
    <w:rsid w:val="002D30DD"/>
    <w:rsid w:val="002D31D6"/>
    <w:rsid w:val="002D3956"/>
    <w:rsid w:val="002D3D1F"/>
    <w:rsid w:val="002D6340"/>
    <w:rsid w:val="002E1039"/>
    <w:rsid w:val="002E13CA"/>
    <w:rsid w:val="002E3B30"/>
    <w:rsid w:val="002E52B1"/>
    <w:rsid w:val="002F0DAB"/>
    <w:rsid w:val="002F0F67"/>
    <w:rsid w:val="002F12F7"/>
    <w:rsid w:val="002F26E7"/>
    <w:rsid w:val="002F33B8"/>
    <w:rsid w:val="002F35F4"/>
    <w:rsid w:val="002F3987"/>
    <w:rsid w:val="002F3B5A"/>
    <w:rsid w:val="002F40AC"/>
    <w:rsid w:val="002F477E"/>
    <w:rsid w:val="002F5A35"/>
    <w:rsid w:val="002F5AE4"/>
    <w:rsid w:val="002F6310"/>
    <w:rsid w:val="003000F9"/>
    <w:rsid w:val="003018E7"/>
    <w:rsid w:val="00303797"/>
    <w:rsid w:val="003050BD"/>
    <w:rsid w:val="00305A61"/>
    <w:rsid w:val="00311D09"/>
    <w:rsid w:val="003121FC"/>
    <w:rsid w:val="0031278C"/>
    <w:rsid w:val="0031418C"/>
    <w:rsid w:val="0031475B"/>
    <w:rsid w:val="00316F92"/>
    <w:rsid w:val="003174C4"/>
    <w:rsid w:val="0031771A"/>
    <w:rsid w:val="003178AF"/>
    <w:rsid w:val="003208B0"/>
    <w:rsid w:val="003223F8"/>
    <w:rsid w:val="003230C9"/>
    <w:rsid w:val="00323963"/>
    <w:rsid w:val="003239AA"/>
    <w:rsid w:val="00324797"/>
    <w:rsid w:val="003247ED"/>
    <w:rsid w:val="003249A7"/>
    <w:rsid w:val="00325723"/>
    <w:rsid w:val="00326BBC"/>
    <w:rsid w:val="0032794D"/>
    <w:rsid w:val="00327C8A"/>
    <w:rsid w:val="003307B4"/>
    <w:rsid w:val="00331EB4"/>
    <w:rsid w:val="00332089"/>
    <w:rsid w:val="00333A4C"/>
    <w:rsid w:val="00333AB6"/>
    <w:rsid w:val="00333EDB"/>
    <w:rsid w:val="00334A27"/>
    <w:rsid w:val="003358E5"/>
    <w:rsid w:val="0033716E"/>
    <w:rsid w:val="003374E0"/>
    <w:rsid w:val="00340914"/>
    <w:rsid w:val="003414DA"/>
    <w:rsid w:val="00341631"/>
    <w:rsid w:val="00342556"/>
    <w:rsid w:val="003428F5"/>
    <w:rsid w:val="003440A3"/>
    <w:rsid w:val="0034596F"/>
    <w:rsid w:val="00346051"/>
    <w:rsid w:val="003468A2"/>
    <w:rsid w:val="003517C9"/>
    <w:rsid w:val="0035688A"/>
    <w:rsid w:val="003569BE"/>
    <w:rsid w:val="00356FD9"/>
    <w:rsid w:val="00360017"/>
    <w:rsid w:val="0036059B"/>
    <w:rsid w:val="00361D3D"/>
    <w:rsid w:val="00361F70"/>
    <w:rsid w:val="003632EA"/>
    <w:rsid w:val="00364231"/>
    <w:rsid w:val="00365B44"/>
    <w:rsid w:val="00365C67"/>
    <w:rsid w:val="00366598"/>
    <w:rsid w:val="00367DE3"/>
    <w:rsid w:val="00370399"/>
    <w:rsid w:val="00370B7F"/>
    <w:rsid w:val="00370D4D"/>
    <w:rsid w:val="00372FFB"/>
    <w:rsid w:val="003731F1"/>
    <w:rsid w:val="00373ABA"/>
    <w:rsid w:val="00376320"/>
    <w:rsid w:val="00376AF3"/>
    <w:rsid w:val="0037773E"/>
    <w:rsid w:val="0038134A"/>
    <w:rsid w:val="00381491"/>
    <w:rsid w:val="00381FDF"/>
    <w:rsid w:val="00382023"/>
    <w:rsid w:val="003822CE"/>
    <w:rsid w:val="00382318"/>
    <w:rsid w:val="0038237B"/>
    <w:rsid w:val="00384E8C"/>
    <w:rsid w:val="003861F3"/>
    <w:rsid w:val="003863FC"/>
    <w:rsid w:val="00386774"/>
    <w:rsid w:val="003867C9"/>
    <w:rsid w:val="00386DD0"/>
    <w:rsid w:val="003929DE"/>
    <w:rsid w:val="00392F9A"/>
    <w:rsid w:val="0039672A"/>
    <w:rsid w:val="003A1715"/>
    <w:rsid w:val="003A187E"/>
    <w:rsid w:val="003A2012"/>
    <w:rsid w:val="003A216C"/>
    <w:rsid w:val="003A27D3"/>
    <w:rsid w:val="003A2A5E"/>
    <w:rsid w:val="003A4DE1"/>
    <w:rsid w:val="003A5121"/>
    <w:rsid w:val="003A655C"/>
    <w:rsid w:val="003A752B"/>
    <w:rsid w:val="003A7F41"/>
    <w:rsid w:val="003B029E"/>
    <w:rsid w:val="003B09B1"/>
    <w:rsid w:val="003B0EDB"/>
    <w:rsid w:val="003B0FA5"/>
    <w:rsid w:val="003B3DE5"/>
    <w:rsid w:val="003B6906"/>
    <w:rsid w:val="003B7524"/>
    <w:rsid w:val="003C33FC"/>
    <w:rsid w:val="003C3408"/>
    <w:rsid w:val="003C3476"/>
    <w:rsid w:val="003C508C"/>
    <w:rsid w:val="003C5A32"/>
    <w:rsid w:val="003C5A61"/>
    <w:rsid w:val="003C6562"/>
    <w:rsid w:val="003C6601"/>
    <w:rsid w:val="003C67C6"/>
    <w:rsid w:val="003C6FAC"/>
    <w:rsid w:val="003C7A36"/>
    <w:rsid w:val="003C7E84"/>
    <w:rsid w:val="003D0AAA"/>
    <w:rsid w:val="003D1759"/>
    <w:rsid w:val="003D2127"/>
    <w:rsid w:val="003D42CA"/>
    <w:rsid w:val="003D5393"/>
    <w:rsid w:val="003D632E"/>
    <w:rsid w:val="003D7D04"/>
    <w:rsid w:val="003D7DDA"/>
    <w:rsid w:val="003E126C"/>
    <w:rsid w:val="003E3813"/>
    <w:rsid w:val="003E73A5"/>
    <w:rsid w:val="003F0573"/>
    <w:rsid w:val="003F0E93"/>
    <w:rsid w:val="003F1C71"/>
    <w:rsid w:val="003F4EF6"/>
    <w:rsid w:val="00400870"/>
    <w:rsid w:val="00402852"/>
    <w:rsid w:val="0040288C"/>
    <w:rsid w:val="004053F4"/>
    <w:rsid w:val="00406096"/>
    <w:rsid w:val="004064BC"/>
    <w:rsid w:val="00407292"/>
    <w:rsid w:val="004073E7"/>
    <w:rsid w:val="00407A3D"/>
    <w:rsid w:val="00411C70"/>
    <w:rsid w:val="00413A15"/>
    <w:rsid w:val="00414EA0"/>
    <w:rsid w:val="0041650A"/>
    <w:rsid w:val="0041667B"/>
    <w:rsid w:val="0041690F"/>
    <w:rsid w:val="00416B45"/>
    <w:rsid w:val="00417B32"/>
    <w:rsid w:val="00417BE6"/>
    <w:rsid w:val="00421295"/>
    <w:rsid w:val="004212DE"/>
    <w:rsid w:val="0042383B"/>
    <w:rsid w:val="00424BCF"/>
    <w:rsid w:val="0042611E"/>
    <w:rsid w:val="0043106F"/>
    <w:rsid w:val="004323C8"/>
    <w:rsid w:val="00432C52"/>
    <w:rsid w:val="00432D70"/>
    <w:rsid w:val="00432F1C"/>
    <w:rsid w:val="00435BAC"/>
    <w:rsid w:val="0044104A"/>
    <w:rsid w:val="004414BD"/>
    <w:rsid w:val="00441A7A"/>
    <w:rsid w:val="00441AC0"/>
    <w:rsid w:val="0044318E"/>
    <w:rsid w:val="0044522D"/>
    <w:rsid w:val="00445349"/>
    <w:rsid w:val="00445BF4"/>
    <w:rsid w:val="004461A8"/>
    <w:rsid w:val="004468A6"/>
    <w:rsid w:val="00446921"/>
    <w:rsid w:val="00447359"/>
    <w:rsid w:val="004473B4"/>
    <w:rsid w:val="004508ED"/>
    <w:rsid w:val="00450BF4"/>
    <w:rsid w:val="00451505"/>
    <w:rsid w:val="00452BA1"/>
    <w:rsid w:val="004530F2"/>
    <w:rsid w:val="00453C56"/>
    <w:rsid w:val="00453E02"/>
    <w:rsid w:val="00454EE0"/>
    <w:rsid w:val="004569D3"/>
    <w:rsid w:val="00466519"/>
    <w:rsid w:val="00466709"/>
    <w:rsid w:val="0046674D"/>
    <w:rsid w:val="00467F03"/>
    <w:rsid w:val="004701A3"/>
    <w:rsid w:val="004703D1"/>
    <w:rsid w:val="00471ABD"/>
    <w:rsid w:val="00471C21"/>
    <w:rsid w:val="00472FC5"/>
    <w:rsid w:val="00473920"/>
    <w:rsid w:val="00474C95"/>
    <w:rsid w:val="00474ECF"/>
    <w:rsid w:val="0047511F"/>
    <w:rsid w:val="00476EBB"/>
    <w:rsid w:val="00477077"/>
    <w:rsid w:val="0047736D"/>
    <w:rsid w:val="004800ED"/>
    <w:rsid w:val="004801EE"/>
    <w:rsid w:val="004805FC"/>
    <w:rsid w:val="004809A8"/>
    <w:rsid w:val="00480FC0"/>
    <w:rsid w:val="004829AA"/>
    <w:rsid w:val="004863D0"/>
    <w:rsid w:val="00493A6B"/>
    <w:rsid w:val="00493BAB"/>
    <w:rsid w:val="00493E97"/>
    <w:rsid w:val="004959CA"/>
    <w:rsid w:val="004A347D"/>
    <w:rsid w:val="004A3745"/>
    <w:rsid w:val="004A37FD"/>
    <w:rsid w:val="004A3A46"/>
    <w:rsid w:val="004A3FFC"/>
    <w:rsid w:val="004A4174"/>
    <w:rsid w:val="004A4CC8"/>
    <w:rsid w:val="004A7903"/>
    <w:rsid w:val="004B05EE"/>
    <w:rsid w:val="004B0ED7"/>
    <w:rsid w:val="004B1F60"/>
    <w:rsid w:val="004B25D3"/>
    <w:rsid w:val="004B3A00"/>
    <w:rsid w:val="004B4201"/>
    <w:rsid w:val="004B424E"/>
    <w:rsid w:val="004B4262"/>
    <w:rsid w:val="004B5F07"/>
    <w:rsid w:val="004B6FC4"/>
    <w:rsid w:val="004C06C5"/>
    <w:rsid w:val="004C084B"/>
    <w:rsid w:val="004C100C"/>
    <w:rsid w:val="004C3441"/>
    <w:rsid w:val="004C4015"/>
    <w:rsid w:val="004C58CC"/>
    <w:rsid w:val="004C6AB4"/>
    <w:rsid w:val="004C74E9"/>
    <w:rsid w:val="004C79E0"/>
    <w:rsid w:val="004D1585"/>
    <w:rsid w:val="004D1E47"/>
    <w:rsid w:val="004D2486"/>
    <w:rsid w:val="004D3288"/>
    <w:rsid w:val="004D556E"/>
    <w:rsid w:val="004D58D3"/>
    <w:rsid w:val="004E0646"/>
    <w:rsid w:val="004E0C80"/>
    <w:rsid w:val="004E2D9B"/>
    <w:rsid w:val="004E3198"/>
    <w:rsid w:val="004E33EF"/>
    <w:rsid w:val="004E3D79"/>
    <w:rsid w:val="004E4F7A"/>
    <w:rsid w:val="004E52BD"/>
    <w:rsid w:val="004E5F15"/>
    <w:rsid w:val="004E7A38"/>
    <w:rsid w:val="004E7E8F"/>
    <w:rsid w:val="004F0566"/>
    <w:rsid w:val="004F1E12"/>
    <w:rsid w:val="004F1FD7"/>
    <w:rsid w:val="004F217D"/>
    <w:rsid w:val="004F448E"/>
    <w:rsid w:val="004F4BE5"/>
    <w:rsid w:val="004F4ECD"/>
    <w:rsid w:val="004F6D7D"/>
    <w:rsid w:val="0050037C"/>
    <w:rsid w:val="0050266E"/>
    <w:rsid w:val="00503AE2"/>
    <w:rsid w:val="00503B32"/>
    <w:rsid w:val="00507B2F"/>
    <w:rsid w:val="0051066D"/>
    <w:rsid w:val="00511B1F"/>
    <w:rsid w:val="005128F3"/>
    <w:rsid w:val="005132B8"/>
    <w:rsid w:val="005137D6"/>
    <w:rsid w:val="0051455F"/>
    <w:rsid w:val="0051502C"/>
    <w:rsid w:val="00516430"/>
    <w:rsid w:val="00517AA1"/>
    <w:rsid w:val="005214B7"/>
    <w:rsid w:val="00521729"/>
    <w:rsid w:val="00526464"/>
    <w:rsid w:val="00527201"/>
    <w:rsid w:val="005279B8"/>
    <w:rsid w:val="00532CBF"/>
    <w:rsid w:val="00533223"/>
    <w:rsid w:val="00533458"/>
    <w:rsid w:val="00533776"/>
    <w:rsid w:val="00533A0F"/>
    <w:rsid w:val="0053449C"/>
    <w:rsid w:val="00534B5A"/>
    <w:rsid w:val="00534BD8"/>
    <w:rsid w:val="00536109"/>
    <w:rsid w:val="00540356"/>
    <w:rsid w:val="00541B1A"/>
    <w:rsid w:val="0054214D"/>
    <w:rsid w:val="00545A63"/>
    <w:rsid w:val="00551AF3"/>
    <w:rsid w:val="00552FA6"/>
    <w:rsid w:val="00553CA5"/>
    <w:rsid w:val="00555C53"/>
    <w:rsid w:val="00556334"/>
    <w:rsid w:val="005563F5"/>
    <w:rsid w:val="0055653B"/>
    <w:rsid w:val="005565F6"/>
    <w:rsid w:val="00556F81"/>
    <w:rsid w:val="00557E29"/>
    <w:rsid w:val="0056128C"/>
    <w:rsid w:val="00561402"/>
    <w:rsid w:val="005631E1"/>
    <w:rsid w:val="005638EC"/>
    <w:rsid w:val="005644F4"/>
    <w:rsid w:val="00566385"/>
    <w:rsid w:val="00566BB3"/>
    <w:rsid w:val="00567CFE"/>
    <w:rsid w:val="00567D8C"/>
    <w:rsid w:val="005701EA"/>
    <w:rsid w:val="005707AC"/>
    <w:rsid w:val="00572690"/>
    <w:rsid w:val="005751C7"/>
    <w:rsid w:val="005759B7"/>
    <w:rsid w:val="00575DC6"/>
    <w:rsid w:val="0057665E"/>
    <w:rsid w:val="00577643"/>
    <w:rsid w:val="00580676"/>
    <w:rsid w:val="005806CE"/>
    <w:rsid w:val="0058294B"/>
    <w:rsid w:val="00584F89"/>
    <w:rsid w:val="00585347"/>
    <w:rsid w:val="00585CB1"/>
    <w:rsid w:val="00586A5D"/>
    <w:rsid w:val="005875B3"/>
    <w:rsid w:val="00587DB3"/>
    <w:rsid w:val="00587F58"/>
    <w:rsid w:val="00590A9F"/>
    <w:rsid w:val="00592069"/>
    <w:rsid w:val="00594C8F"/>
    <w:rsid w:val="005955DC"/>
    <w:rsid w:val="00596454"/>
    <w:rsid w:val="005965C0"/>
    <w:rsid w:val="00596A4C"/>
    <w:rsid w:val="00596E1B"/>
    <w:rsid w:val="005971E6"/>
    <w:rsid w:val="00597A15"/>
    <w:rsid w:val="005A0612"/>
    <w:rsid w:val="005A16D6"/>
    <w:rsid w:val="005A1DC9"/>
    <w:rsid w:val="005A27A8"/>
    <w:rsid w:val="005A2AE7"/>
    <w:rsid w:val="005A3572"/>
    <w:rsid w:val="005A3757"/>
    <w:rsid w:val="005A3C8B"/>
    <w:rsid w:val="005A566F"/>
    <w:rsid w:val="005B1F42"/>
    <w:rsid w:val="005B1F4F"/>
    <w:rsid w:val="005B3E30"/>
    <w:rsid w:val="005B5576"/>
    <w:rsid w:val="005B621F"/>
    <w:rsid w:val="005B63E8"/>
    <w:rsid w:val="005B669F"/>
    <w:rsid w:val="005C0824"/>
    <w:rsid w:val="005C28E1"/>
    <w:rsid w:val="005C3170"/>
    <w:rsid w:val="005C3582"/>
    <w:rsid w:val="005C368B"/>
    <w:rsid w:val="005C3864"/>
    <w:rsid w:val="005C5566"/>
    <w:rsid w:val="005C5F6B"/>
    <w:rsid w:val="005C6832"/>
    <w:rsid w:val="005C6981"/>
    <w:rsid w:val="005C7309"/>
    <w:rsid w:val="005C78B5"/>
    <w:rsid w:val="005C7E21"/>
    <w:rsid w:val="005D1C9D"/>
    <w:rsid w:val="005D2C3D"/>
    <w:rsid w:val="005D2E3D"/>
    <w:rsid w:val="005D54F3"/>
    <w:rsid w:val="005D598F"/>
    <w:rsid w:val="005D66BA"/>
    <w:rsid w:val="005D7B1A"/>
    <w:rsid w:val="005D7ED7"/>
    <w:rsid w:val="005E223B"/>
    <w:rsid w:val="005E3019"/>
    <w:rsid w:val="005E4A56"/>
    <w:rsid w:val="005E5E19"/>
    <w:rsid w:val="005E70DD"/>
    <w:rsid w:val="005E751D"/>
    <w:rsid w:val="005F031A"/>
    <w:rsid w:val="005F2AF0"/>
    <w:rsid w:val="005F35BE"/>
    <w:rsid w:val="005F4BFF"/>
    <w:rsid w:val="005F578E"/>
    <w:rsid w:val="005F5E94"/>
    <w:rsid w:val="005F63F9"/>
    <w:rsid w:val="005F644D"/>
    <w:rsid w:val="005F6F61"/>
    <w:rsid w:val="00601ABD"/>
    <w:rsid w:val="006022C9"/>
    <w:rsid w:val="00602456"/>
    <w:rsid w:val="00602571"/>
    <w:rsid w:val="00602CA5"/>
    <w:rsid w:val="00602F8A"/>
    <w:rsid w:val="0060371B"/>
    <w:rsid w:val="00603C87"/>
    <w:rsid w:val="0060583B"/>
    <w:rsid w:val="00612481"/>
    <w:rsid w:val="00613849"/>
    <w:rsid w:val="00615BA7"/>
    <w:rsid w:val="00616C0C"/>
    <w:rsid w:val="00617D7A"/>
    <w:rsid w:val="00620DC9"/>
    <w:rsid w:val="006228B5"/>
    <w:rsid w:val="00622BB7"/>
    <w:rsid w:val="006264B0"/>
    <w:rsid w:val="00627ACF"/>
    <w:rsid w:val="00630E6B"/>
    <w:rsid w:val="00634D36"/>
    <w:rsid w:val="00634FEC"/>
    <w:rsid w:val="00635953"/>
    <w:rsid w:val="00635CB0"/>
    <w:rsid w:val="00635E67"/>
    <w:rsid w:val="0064264F"/>
    <w:rsid w:val="0064295F"/>
    <w:rsid w:val="00643F3A"/>
    <w:rsid w:val="006441EF"/>
    <w:rsid w:val="0064473B"/>
    <w:rsid w:val="00644A87"/>
    <w:rsid w:val="006453A1"/>
    <w:rsid w:val="00646B9C"/>
    <w:rsid w:val="00647143"/>
    <w:rsid w:val="006472B9"/>
    <w:rsid w:val="00650CBD"/>
    <w:rsid w:val="00650DC2"/>
    <w:rsid w:val="00651417"/>
    <w:rsid w:val="00651FF9"/>
    <w:rsid w:val="00652EEE"/>
    <w:rsid w:val="0065328B"/>
    <w:rsid w:val="00655B0F"/>
    <w:rsid w:val="006566F4"/>
    <w:rsid w:val="00656741"/>
    <w:rsid w:val="00656A20"/>
    <w:rsid w:val="00657CEA"/>
    <w:rsid w:val="006619B8"/>
    <w:rsid w:val="00662880"/>
    <w:rsid w:val="00662ED8"/>
    <w:rsid w:val="006679C8"/>
    <w:rsid w:val="006709A6"/>
    <w:rsid w:val="00671447"/>
    <w:rsid w:val="00671D15"/>
    <w:rsid w:val="00671EFC"/>
    <w:rsid w:val="00672D22"/>
    <w:rsid w:val="00673C2D"/>
    <w:rsid w:val="00673E7C"/>
    <w:rsid w:val="006741C4"/>
    <w:rsid w:val="00674647"/>
    <w:rsid w:val="006751A0"/>
    <w:rsid w:val="00676A2F"/>
    <w:rsid w:val="00677576"/>
    <w:rsid w:val="00680C07"/>
    <w:rsid w:val="0068219B"/>
    <w:rsid w:val="006847D8"/>
    <w:rsid w:val="00685728"/>
    <w:rsid w:val="00685D21"/>
    <w:rsid w:val="006865CD"/>
    <w:rsid w:val="0068721A"/>
    <w:rsid w:val="00690677"/>
    <w:rsid w:val="006921B8"/>
    <w:rsid w:val="0069261E"/>
    <w:rsid w:val="00692F61"/>
    <w:rsid w:val="00693348"/>
    <w:rsid w:val="00694BE1"/>
    <w:rsid w:val="00695396"/>
    <w:rsid w:val="0069586B"/>
    <w:rsid w:val="00696946"/>
    <w:rsid w:val="006976EA"/>
    <w:rsid w:val="006A11F5"/>
    <w:rsid w:val="006A20CF"/>
    <w:rsid w:val="006A2A63"/>
    <w:rsid w:val="006A3D64"/>
    <w:rsid w:val="006A529F"/>
    <w:rsid w:val="006A6852"/>
    <w:rsid w:val="006A6E33"/>
    <w:rsid w:val="006A7462"/>
    <w:rsid w:val="006B04EF"/>
    <w:rsid w:val="006B0DFB"/>
    <w:rsid w:val="006B10B8"/>
    <w:rsid w:val="006B10E8"/>
    <w:rsid w:val="006B24BD"/>
    <w:rsid w:val="006B2AF3"/>
    <w:rsid w:val="006B321D"/>
    <w:rsid w:val="006B3D15"/>
    <w:rsid w:val="006B41EE"/>
    <w:rsid w:val="006B4328"/>
    <w:rsid w:val="006B51AB"/>
    <w:rsid w:val="006B7349"/>
    <w:rsid w:val="006C0355"/>
    <w:rsid w:val="006C1E05"/>
    <w:rsid w:val="006C223F"/>
    <w:rsid w:val="006C4E13"/>
    <w:rsid w:val="006C7C8F"/>
    <w:rsid w:val="006D07B1"/>
    <w:rsid w:val="006D2224"/>
    <w:rsid w:val="006D3536"/>
    <w:rsid w:val="006D40B8"/>
    <w:rsid w:val="006D609E"/>
    <w:rsid w:val="006D647B"/>
    <w:rsid w:val="006D6CAB"/>
    <w:rsid w:val="006D7674"/>
    <w:rsid w:val="006D78BF"/>
    <w:rsid w:val="006E064C"/>
    <w:rsid w:val="006E0B5F"/>
    <w:rsid w:val="006E17D7"/>
    <w:rsid w:val="006E392E"/>
    <w:rsid w:val="006E3F4F"/>
    <w:rsid w:val="006E43F2"/>
    <w:rsid w:val="006E55AC"/>
    <w:rsid w:val="006E5B8C"/>
    <w:rsid w:val="006E6EDB"/>
    <w:rsid w:val="006F37BF"/>
    <w:rsid w:val="006F4139"/>
    <w:rsid w:val="006F478A"/>
    <w:rsid w:val="006F4873"/>
    <w:rsid w:val="006F4DB9"/>
    <w:rsid w:val="006F4F07"/>
    <w:rsid w:val="006F5618"/>
    <w:rsid w:val="006F6BE3"/>
    <w:rsid w:val="006F71FA"/>
    <w:rsid w:val="006F7AE5"/>
    <w:rsid w:val="007000F4"/>
    <w:rsid w:val="007005B8"/>
    <w:rsid w:val="007006E6"/>
    <w:rsid w:val="00700AB6"/>
    <w:rsid w:val="00700FB7"/>
    <w:rsid w:val="007011EC"/>
    <w:rsid w:val="00701AD0"/>
    <w:rsid w:val="00701B60"/>
    <w:rsid w:val="00702525"/>
    <w:rsid w:val="00702C53"/>
    <w:rsid w:val="00703910"/>
    <w:rsid w:val="00703BA1"/>
    <w:rsid w:val="0070439C"/>
    <w:rsid w:val="00704B8A"/>
    <w:rsid w:val="00704D4F"/>
    <w:rsid w:val="007050EC"/>
    <w:rsid w:val="00705C8A"/>
    <w:rsid w:val="007063CE"/>
    <w:rsid w:val="00710B7F"/>
    <w:rsid w:val="0071134F"/>
    <w:rsid w:val="007113C5"/>
    <w:rsid w:val="00714E36"/>
    <w:rsid w:val="00715E21"/>
    <w:rsid w:val="0071602F"/>
    <w:rsid w:val="0072145F"/>
    <w:rsid w:val="00721788"/>
    <w:rsid w:val="00721A7C"/>
    <w:rsid w:val="00721A92"/>
    <w:rsid w:val="0072240A"/>
    <w:rsid w:val="00722460"/>
    <w:rsid w:val="00724FF9"/>
    <w:rsid w:val="007254E6"/>
    <w:rsid w:val="0072711C"/>
    <w:rsid w:val="00732E84"/>
    <w:rsid w:val="00732F05"/>
    <w:rsid w:val="0073380C"/>
    <w:rsid w:val="007342DE"/>
    <w:rsid w:val="00734CC3"/>
    <w:rsid w:val="00735DC8"/>
    <w:rsid w:val="00735E39"/>
    <w:rsid w:val="0073690E"/>
    <w:rsid w:val="00737992"/>
    <w:rsid w:val="0074107A"/>
    <w:rsid w:val="0074327B"/>
    <w:rsid w:val="0074352C"/>
    <w:rsid w:val="00744071"/>
    <w:rsid w:val="00744D70"/>
    <w:rsid w:val="0074511C"/>
    <w:rsid w:val="00746960"/>
    <w:rsid w:val="00746C55"/>
    <w:rsid w:val="00751A3E"/>
    <w:rsid w:val="00751DF1"/>
    <w:rsid w:val="007522AA"/>
    <w:rsid w:val="00753BB6"/>
    <w:rsid w:val="00753FF8"/>
    <w:rsid w:val="00754311"/>
    <w:rsid w:val="00754F9C"/>
    <w:rsid w:val="007567EE"/>
    <w:rsid w:val="007608D4"/>
    <w:rsid w:val="00760D03"/>
    <w:rsid w:val="007672F6"/>
    <w:rsid w:val="0076738C"/>
    <w:rsid w:val="007674F2"/>
    <w:rsid w:val="0077078E"/>
    <w:rsid w:val="007720F8"/>
    <w:rsid w:val="007741C0"/>
    <w:rsid w:val="00774953"/>
    <w:rsid w:val="00774CB7"/>
    <w:rsid w:val="00775489"/>
    <w:rsid w:val="007760EF"/>
    <w:rsid w:val="0077648E"/>
    <w:rsid w:val="00777880"/>
    <w:rsid w:val="0078043D"/>
    <w:rsid w:val="00780F91"/>
    <w:rsid w:val="00783C4C"/>
    <w:rsid w:val="00784E39"/>
    <w:rsid w:val="00785BF1"/>
    <w:rsid w:val="00786B22"/>
    <w:rsid w:val="00786C44"/>
    <w:rsid w:val="0079237F"/>
    <w:rsid w:val="007943C4"/>
    <w:rsid w:val="0079459C"/>
    <w:rsid w:val="007950A3"/>
    <w:rsid w:val="007960C2"/>
    <w:rsid w:val="007962C8"/>
    <w:rsid w:val="00796DB3"/>
    <w:rsid w:val="007A0E8D"/>
    <w:rsid w:val="007A12E6"/>
    <w:rsid w:val="007A1321"/>
    <w:rsid w:val="007A450C"/>
    <w:rsid w:val="007A4716"/>
    <w:rsid w:val="007A487A"/>
    <w:rsid w:val="007A78BD"/>
    <w:rsid w:val="007B3B39"/>
    <w:rsid w:val="007B44B9"/>
    <w:rsid w:val="007C1B81"/>
    <w:rsid w:val="007C5708"/>
    <w:rsid w:val="007C6247"/>
    <w:rsid w:val="007C6AA6"/>
    <w:rsid w:val="007C71A3"/>
    <w:rsid w:val="007D0091"/>
    <w:rsid w:val="007D1BEF"/>
    <w:rsid w:val="007D1F3E"/>
    <w:rsid w:val="007D3175"/>
    <w:rsid w:val="007D3695"/>
    <w:rsid w:val="007D38F7"/>
    <w:rsid w:val="007D40C2"/>
    <w:rsid w:val="007D4926"/>
    <w:rsid w:val="007D5CEE"/>
    <w:rsid w:val="007D5EDD"/>
    <w:rsid w:val="007D6550"/>
    <w:rsid w:val="007D6C29"/>
    <w:rsid w:val="007E0794"/>
    <w:rsid w:val="007E0E97"/>
    <w:rsid w:val="007E1EA2"/>
    <w:rsid w:val="007E2248"/>
    <w:rsid w:val="007E32C7"/>
    <w:rsid w:val="007E52DA"/>
    <w:rsid w:val="007E6FA7"/>
    <w:rsid w:val="007E7E02"/>
    <w:rsid w:val="007F0478"/>
    <w:rsid w:val="007F23CD"/>
    <w:rsid w:val="007F254F"/>
    <w:rsid w:val="007F2C04"/>
    <w:rsid w:val="007F33C0"/>
    <w:rsid w:val="007F3599"/>
    <w:rsid w:val="007F413E"/>
    <w:rsid w:val="007F47CF"/>
    <w:rsid w:val="007F5027"/>
    <w:rsid w:val="007F6215"/>
    <w:rsid w:val="007F69BA"/>
    <w:rsid w:val="008009EF"/>
    <w:rsid w:val="008014CC"/>
    <w:rsid w:val="0080165A"/>
    <w:rsid w:val="008018C7"/>
    <w:rsid w:val="00801BEC"/>
    <w:rsid w:val="00802FFF"/>
    <w:rsid w:val="008036E8"/>
    <w:rsid w:val="0080438F"/>
    <w:rsid w:val="008069C6"/>
    <w:rsid w:val="00806C35"/>
    <w:rsid w:val="00807836"/>
    <w:rsid w:val="00807D6A"/>
    <w:rsid w:val="0081046E"/>
    <w:rsid w:val="00810CDC"/>
    <w:rsid w:val="0081384E"/>
    <w:rsid w:val="008144BC"/>
    <w:rsid w:val="00814B95"/>
    <w:rsid w:val="00814DAF"/>
    <w:rsid w:val="00814ED4"/>
    <w:rsid w:val="00817B32"/>
    <w:rsid w:val="00820426"/>
    <w:rsid w:val="00821153"/>
    <w:rsid w:val="00821DFD"/>
    <w:rsid w:val="00822486"/>
    <w:rsid w:val="0082300A"/>
    <w:rsid w:val="008238E1"/>
    <w:rsid w:val="00824F17"/>
    <w:rsid w:val="00825052"/>
    <w:rsid w:val="00825DE5"/>
    <w:rsid w:val="00826DEC"/>
    <w:rsid w:val="00830604"/>
    <w:rsid w:val="008317E7"/>
    <w:rsid w:val="008329FF"/>
    <w:rsid w:val="00833A9F"/>
    <w:rsid w:val="008344EE"/>
    <w:rsid w:val="00834827"/>
    <w:rsid w:val="00834E05"/>
    <w:rsid w:val="00835B50"/>
    <w:rsid w:val="00835C87"/>
    <w:rsid w:val="008361AE"/>
    <w:rsid w:val="00836D2C"/>
    <w:rsid w:val="00840520"/>
    <w:rsid w:val="00842E06"/>
    <w:rsid w:val="00842FDF"/>
    <w:rsid w:val="008439DD"/>
    <w:rsid w:val="00845605"/>
    <w:rsid w:val="00846AB4"/>
    <w:rsid w:val="0084794B"/>
    <w:rsid w:val="00847E39"/>
    <w:rsid w:val="00850DE3"/>
    <w:rsid w:val="00851207"/>
    <w:rsid w:val="0085215D"/>
    <w:rsid w:val="008567DA"/>
    <w:rsid w:val="008568B6"/>
    <w:rsid w:val="00857812"/>
    <w:rsid w:val="0086174A"/>
    <w:rsid w:val="00861B5D"/>
    <w:rsid w:val="008643E0"/>
    <w:rsid w:val="00864BDE"/>
    <w:rsid w:val="00864C75"/>
    <w:rsid w:val="008656DD"/>
    <w:rsid w:val="008668CD"/>
    <w:rsid w:val="00867D88"/>
    <w:rsid w:val="00867F05"/>
    <w:rsid w:val="0087102E"/>
    <w:rsid w:val="0087243A"/>
    <w:rsid w:val="0087425C"/>
    <w:rsid w:val="0087465E"/>
    <w:rsid w:val="008749CA"/>
    <w:rsid w:val="00875477"/>
    <w:rsid w:val="00875D54"/>
    <w:rsid w:val="008762D3"/>
    <w:rsid w:val="00877B15"/>
    <w:rsid w:val="00877B9B"/>
    <w:rsid w:val="00880D19"/>
    <w:rsid w:val="00881941"/>
    <w:rsid w:val="00883CBB"/>
    <w:rsid w:val="00883CEF"/>
    <w:rsid w:val="00884634"/>
    <w:rsid w:val="00884D50"/>
    <w:rsid w:val="00887FA8"/>
    <w:rsid w:val="00890EA1"/>
    <w:rsid w:val="008916F0"/>
    <w:rsid w:val="00893A49"/>
    <w:rsid w:val="008943F0"/>
    <w:rsid w:val="0089703E"/>
    <w:rsid w:val="0089719D"/>
    <w:rsid w:val="008977C2"/>
    <w:rsid w:val="008A0939"/>
    <w:rsid w:val="008A43C8"/>
    <w:rsid w:val="008A74A8"/>
    <w:rsid w:val="008B0879"/>
    <w:rsid w:val="008B0B5B"/>
    <w:rsid w:val="008B15F8"/>
    <w:rsid w:val="008B200C"/>
    <w:rsid w:val="008B200F"/>
    <w:rsid w:val="008B30D0"/>
    <w:rsid w:val="008B43D0"/>
    <w:rsid w:val="008B4486"/>
    <w:rsid w:val="008B461C"/>
    <w:rsid w:val="008B522F"/>
    <w:rsid w:val="008B56F4"/>
    <w:rsid w:val="008B6E20"/>
    <w:rsid w:val="008C0A2A"/>
    <w:rsid w:val="008C0DCA"/>
    <w:rsid w:val="008C1037"/>
    <w:rsid w:val="008C1D21"/>
    <w:rsid w:val="008C232B"/>
    <w:rsid w:val="008C40EF"/>
    <w:rsid w:val="008C4707"/>
    <w:rsid w:val="008C4B4B"/>
    <w:rsid w:val="008C5EC3"/>
    <w:rsid w:val="008C67B3"/>
    <w:rsid w:val="008C7522"/>
    <w:rsid w:val="008C7F4C"/>
    <w:rsid w:val="008D1F95"/>
    <w:rsid w:val="008D298B"/>
    <w:rsid w:val="008D3098"/>
    <w:rsid w:val="008D3913"/>
    <w:rsid w:val="008D43E9"/>
    <w:rsid w:val="008D479F"/>
    <w:rsid w:val="008D4BBC"/>
    <w:rsid w:val="008D6D0A"/>
    <w:rsid w:val="008D6ED9"/>
    <w:rsid w:val="008D79CB"/>
    <w:rsid w:val="008E3314"/>
    <w:rsid w:val="008E380B"/>
    <w:rsid w:val="008E4825"/>
    <w:rsid w:val="008E6F70"/>
    <w:rsid w:val="008F242C"/>
    <w:rsid w:val="008F3016"/>
    <w:rsid w:val="008F5A70"/>
    <w:rsid w:val="008F7611"/>
    <w:rsid w:val="009006C4"/>
    <w:rsid w:val="009014FD"/>
    <w:rsid w:val="00902AA7"/>
    <w:rsid w:val="00904929"/>
    <w:rsid w:val="00904EE0"/>
    <w:rsid w:val="0090627D"/>
    <w:rsid w:val="00906F5B"/>
    <w:rsid w:val="00907B79"/>
    <w:rsid w:val="00910B9D"/>
    <w:rsid w:val="0091126E"/>
    <w:rsid w:val="0091140D"/>
    <w:rsid w:val="00911540"/>
    <w:rsid w:val="009115EE"/>
    <w:rsid w:val="0091324B"/>
    <w:rsid w:val="00914BD3"/>
    <w:rsid w:val="00915D60"/>
    <w:rsid w:val="00916033"/>
    <w:rsid w:val="0091628B"/>
    <w:rsid w:val="00917A12"/>
    <w:rsid w:val="00920293"/>
    <w:rsid w:val="009208B8"/>
    <w:rsid w:val="009208FE"/>
    <w:rsid w:val="00922414"/>
    <w:rsid w:val="00924488"/>
    <w:rsid w:val="00924C3C"/>
    <w:rsid w:val="0092593B"/>
    <w:rsid w:val="00927850"/>
    <w:rsid w:val="00931699"/>
    <w:rsid w:val="0093305F"/>
    <w:rsid w:val="00933463"/>
    <w:rsid w:val="009336B2"/>
    <w:rsid w:val="009367B5"/>
    <w:rsid w:val="00936A0E"/>
    <w:rsid w:val="0093781E"/>
    <w:rsid w:val="00937ADC"/>
    <w:rsid w:val="00937CEB"/>
    <w:rsid w:val="00940291"/>
    <w:rsid w:val="009404D7"/>
    <w:rsid w:val="0094098C"/>
    <w:rsid w:val="00941881"/>
    <w:rsid w:val="00942CD4"/>
    <w:rsid w:val="00943AA5"/>
    <w:rsid w:val="00946CD9"/>
    <w:rsid w:val="00950E13"/>
    <w:rsid w:val="0095122A"/>
    <w:rsid w:val="00951A49"/>
    <w:rsid w:val="00951DB6"/>
    <w:rsid w:val="00952CDF"/>
    <w:rsid w:val="00953984"/>
    <w:rsid w:val="0095434D"/>
    <w:rsid w:val="009565CB"/>
    <w:rsid w:val="009568A3"/>
    <w:rsid w:val="009570DF"/>
    <w:rsid w:val="00957730"/>
    <w:rsid w:val="00960FB3"/>
    <w:rsid w:val="00962C11"/>
    <w:rsid w:val="00963A9B"/>
    <w:rsid w:val="009642CA"/>
    <w:rsid w:val="00964590"/>
    <w:rsid w:val="00964972"/>
    <w:rsid w:val="00964E48"/>
    <w:rsid w:val="00965252"/>
    <w:rsid w:val="0096674E"/>
    <w:rsid w:val="009708AC"/>
    <w:rsid w:val="009726A7"/>
    <w:rsid w:val="009771E3"/>
    <w:rsid w:val="00980B85"/>
    <w:rsid w:val="0098131E"/>
    <w:rsid w:val="009815B8"/>
    <w:rsid w:val="00983200"/>
    <w:rsid w:val="00983965"/>
    <w:rsid w:val="00986F9E"/>
    <w:rsid w:val="009871D6"/>
    <w:rsid w:val="009878DC"/>
    <w:rsid w:val="009902E0"/>
    <w:rsid w:val="0099152A"/>
    <w:rsid w:val="00991CBC"/>
    <w:rsid w:val="00992E0F"/>
    <w:rsid w:val="00993147"/>
    <w:rsid w:val="00993C78"/>
    <w:rsid w:val="009955C9"/>
    <w:rsid w:val="009A010C"/>
    <w:rsid w:val="009A0562"/>
    <w:rsid w:val="009A10CD"/>
    <w:rsid w:val="009A3BA6"/>
    <w:rsid w:val="009A3E80"/>
    <w:rsid w:val="009A46DD"/>
    <w:rsid w:val="009A47A7"/>
    <w:rsid w:val="009A5F4C"/>
    <w:rsid w:val="009A5F86"/>
    <w:rsid w:val="009A6E87"/>
    <w:rsid w:val="009A7ABB"/>
    <w:rsid w:val="009B0B52"/>
    <w:rsid w:val="009B29B9"/>
    <w:rsid w:val="009B3554"/>
    <w:rsid w:val="009B4707"/>
    <w:rsid w:val="009B6A9E"/>
    <w:rsid w:val="009B6DFC"/>
    <w:rsid w:val="009B7260"/>
    <w:rsid w:val="009B75B6"/>
    <w:rsid w:val="009C011B"/>
    <w:rsid w:val="009C1877"/>
    <w:rsid w:val="009C2E39"/>
    <w:rsid w:val="009C32A4"/>
    <w:rsid w:val="009C3699"/>
    <w:rsid w:val="009C5DDF"/>
    <w:rsid w:val="009D1196"/>
    <w:rsid w:val="009D228C"/>
    <w:rsid w:val="009D2451"/>
    <w:rsid w:val="009D410A"/>
    <w:rsid w:val="009D5710"/>
    <w:rsid w:val="009D6077"/>
    <w:rsid w:val="009E0C50"/>
    <w:rsid w:val="009E2814"/>
    <w:rsid w:val="009E2B2A"/>
    <w:rsid w:val="009E42BE"/>
    <w:rsid w:val="009E4C84"/>
    <w:rsid w:val="009E5666"/>
    <w:rsid w:val="009E5E7B"/>
    <w:rsid w:val="009E6C00"/>
    <w:rsid w:val="009E730A"/>
    <w:rsid w:val="009F0191"/>
    <w:rsid w:val="009F16DA"/>
    <w:rsid w:val="009F391B"/>
    <w:rsid w:val="009F4289"/>
    <w:rsid w:val="009F592F"/>
    <w:rsid w:val="009F6101"/>
    <w:rsid w:val="00A008DB"/>
    <w:rsid w:val="00A008E8"/>
    <w:rsid w:val="00A02739"/>
    <w:rsid w:val="00A030B5"/>
    <w:rsid w:val="00A036E4"/>
    <w:rsid w:val="00A039F7"/>
    <w:rsid w:val="00A04B7B"/>
    <w:rsid w:val="00A05649"/>
    <w:rsid w:val="00A0584E"/>
    <w:rsid w:val="00A06459"/>
    <w:rsid w:val="00A06C43"/>
    <w:rsid w:val="00A079E1"/>
    <w:rsid w:val="00A10006"/>
    <w:rsid w:val="00A11501"/>
    <w:rsid w:val="00A11B0A"/>
    <w:rsid w:val="00A12982"/>
    <w:rsid w:val="00A12D73"/>
    <w:rsid w:val="00A133FA"/>
    <w:rsid w:val="00A13D42"/>
    <w:rsid w:val="00A15E5D"/>
    <w:rsid w:val="00A22680"/>
    <w:rsid w:val="00A2354A"/>
    <w:rsid w:val="00A30DD6"/>
    <w:rsid w:val="00A31CC8"/>
    <w:rsid w:val="00A32B72"/>
    <w:rsid w:val="00A32BD8"/>
    <w:rsid w:val="00A33469"/>
    <w:rsid w:val="00A347EB"/>
    <w:rsid w:val="00A35476"/>
    <w:rsid w:val="00A35E4D"/>
    <w:rsid w:val="00A36477"/>
    <w:rsid w:val="00A364FC"/>
    <w:rsid w:val="00A36896"/>
    <w:rsid w:val="00A37213"/>
    <w:rsid w:val="00A37900"/>
    <w:rsid w:val="00A41396"/>
    <w:rsid w:val="00A42699"/>
    <w:rsid w:val="00A43422"/>
    <w:rsid w:val="00A4383D"/>
    <w:rsid w:val="00A43D39"/>
    <w:rsid w:val="00A447D8"/>
    <w:rsid w:val="00A45222"/>
    <w:rsid w:val="00A45D0A"/>
    <w:rsid w:val="00A46F25"/>
    <w:rsid w:val="00A470C4"/>
    <w:rsid w:val="00A47267"/>
    <w:rsid w:val="00A4760D"/>
    <w:rsid w:val="00A4795C"/>
    <w:rsid w:val="00A47D4D"/>
    <w:rsid w:val="00A50D08"/>
    <w:rsid w:val="00A511C5"/>
    <w:rsid w:val="00A5432C"/>
    <w:rsid w:val="00A54DD1"/>
    <w:rsid w:val="00A5572F"/>
    <w:rsid w:val="00A56419"/>
    <w:rsid w:val="00A56E53"/>
    <w:rsid w:val="00A5721E"/>
    <w:rsid w:val="00A617C9"/>
    <w:rsid w:val="00A61862"/>
    <w:rsid w:val="00A61A2C"/>
    <w:rsid w:val="00A62D60"/>
    <w:rsid w:val="00A62E16"/>
    <w:rsid w:val="00A63131"/>
    <w:rsid w:val="00A64E9F"/>
    <w:rsid w:val="00A64F3D"/>
    <w:rsid w:val="00A65C46"/>
    <w:rsid w:val="00A66004"/>
    <w:rsid w:val="00A6695E"/>
    <w:rsid w:val="00A6715F"/>
    <w:rsid w:val="00A71F6B"/>
    <w:rsid w:val="00A71FC8"/>
    <w:rsid w:val="00A761E0"/>
    <w:rsid w:val="00A808D9"/>
    <w:rsid w:val="00A810EB"/>
    <w:rsid w:val="00A811CA"/>
    <w:rsid w:val="00A81ACF"/>
    <w:rsid w:val="00A8278C"/>
    <w:rsid w:val="00A8297A"/>
    <w:rsid w:val="00A84EE3"/>
    <w:rsid w:val="00A85E32"/>
    <w:rsid w:val="00A874E1"/>
    <w:rsid w:val="00A876CA"/>
    <w:rsid w:val="00A87879"/>
    <w:rsid w:val="00A9045B"/>
    <w:rsid w:val="00A90E47"/>
    <w:rsid w:val="00A91E28"/>
    <w:rsid w:val="00A92921"/>
    <w:rsid w:val="00A92F53"/>
    <w:rsid w:val="00A9349D"/>
    <w:rsid w:val="00A93B8C"/>
    <w:rsid w:val="00A94160"/>
    <w:rsid w:val="00A95611"/>
    <w:rsid w:val="00A9647B"/>
    <w:rsid w:val="00A97058"/>
    <w:rsid w:val="00A971FA"/>
    <w:rsid w:val="00AA1E9A"/>
    <w:rsid w:val="00AA28EA"/>
    <w:rsid w:val="00AA2B9C"/>
    <w:rsid w:val="00AA4335"/>
    <w:rsid w:val="00AA4903"/>
    <w:rsid w:val="00AA7E50"/>
    <w:rsid w:val="00AB1078"/>
    <w:rsid w:val="00AB1518"/>
    <w:rsid w:val="00AB3721"/>
    <w:rsid w:val="00AB4081"/>
    <w:rsid w:val="00AB4F6D"/>
    <w:rsid w:val="00AB5F5E"/>
    <w:rsid w:val="00AB7900"/>
    <w:rsid w:val="00AC0004"/>
    <w:rsid w:val="00AC0C64"/>
    <w:rsid w:val="00AC1606"/>
    <w:rsid w:val="00AC2D55"/>
    <w:rsid w:val="00AC3F34"/>
    <w:rsid w:val="00AC4EA2"/>
    <w:rsid w:val="00AC5F68"/>
    <w:rsid w:val="00AC6500"/>
    <w:rsid w:val="00AC6550"/>
    <w:rsid w:val="00AC6638"/>
    <w:rsid w:val="00AC6951"/>
    <w:rsid w:val="00AC78A3"/>
    <w:rsid w:val="00AD0D2E"/>
    <w:rsid w:val="00AD1B96"/>
    <w:rsid w:val="00AD2492"/>
    <w:rsid w:val="00AD26E1"/>
    <w:rsid w:val="00AD4B76"/>
    <w:rsid w:val="00AD6A24"/>
    <w:rsid w:val="00AD7B40"/>
    <w:rsid w:val="00AE01D4"/>
    <w:rsid w:val="00AE1229"/>
    <w:rsid w:val="00AE1CBB"/>
    <w:rsid w:val="00AE1D86"/>
    <w:rsid w:val="00AE270C"/>
    <w:rsid w:val="00AE3CAC"/>
    <w:rsid w:val="00AE45F6"/>
    <w:rsid w:val="00AE4703"/>
    <w:rsid w:val="00AE4BFB"/>
    <w:rsid w:val="00AE5B42"/>
    <w:rsid w:val="00AE628F"/>
    <w:rsid w:val="00AE6CCB"/>
    <w:rsid w:val="00AE745B"/>
    <w:rsid w:val="00AE7B1D"/>
    <w:rsid w:val="00AF03AD"/>
    <w:rsid w:val="00AF1BA1"/>
    <w:rsid w:val="00AF650F"/>
    <w:rsid w:val="00AF6A5F"/>
    <w:rsid w:val="00AF7022"/>
    <w:rsid w:val="00B00EAE"/>
    <w:rsid w:val="00B01A8F"/>
    <w:rsid w:val="00B05348"/>
    <w:rsid w:val="00B06741"/>
    <w:rsid w:val="00B07E35"/>
    <w:rsid w:val="00B1003B"/>
    <w:rsid w:val="00B105E9"/>
    <w:rsid w:val="00B10DE3"/>
    <w:rsid w:val="00B11671"/>
    <w:rsid w:val="00B122C6"/>
    <w:rsid w:val="00B14009"/>
    <w:rsid w:val="00B15935"/>
    <w:rsid w:val="00B16213"/>
    <w:rsid w:val="00B17A43"/>
    <w:rsid w:val="00B17B95"/>
    <w:rsid w:val="00B20FFA"/>
    <w:rsid w:val="00B224F1"/>
    <w:rsid w:val="00B229EB"/>
    <w:rsid w:val="00B23429"/>
    <w:rsid w:val="00B24364"/>
    <w:rsid w:val="00B27D3A"/>
    <w:rsid w:val="00B3062A"/>
    <w:rsid w:val="00B3095F"/>
    <w:rsid w:val="00B32AB6"/>
    <w:rsid w:val="00B41786"/>
    <w:rsid w:val="00B421A1"/>
    <w:rsid w:val="00B424CC"/>
    <w:rsid w:val="00B4372B"/>
    <w:rsid w:val="00B513B0"/>
    <w:rsid w:val="00B5159F"/>
    <w:rsid w:val="00B51CF3"/>
    <w:rsid w:val="00B52568"/>
    <w:rsid w:val="00B5259A"/>
    <w:rsid w:val="00B5268A"/>
    <w:rsid w:val="00B52737"/>
    <w:rsid w:val="00B54F83"/>
    <w:rsid w:val="00B558B1"/>
    <w:rsid w:val="00B5618E"/>
    <w:rsid w:val="00B56AFD"/>
    <w:rsid w:val="00B620BA"/>
    <w:rsid w:val="00B6679B"/>
    <w:rsid w:val="00B67B2A"/>
    <w:rsid w:val="00B70633"/>
    <w:rsid w:val="00B70E9D"/>
    <w:rsid w:val="00B7298C"/>
    <w:rsid w:val="00B7354E"/>
    <w:rsid w:val="00B738CF"/>
    <w:rsid w:val="00B74FB8"/>
    <w:rsid w:val="00B76E74"/>
    <w:rsid w:val="00B77772"/>
    <w:rsid w:val="00B77E7F"/>
    <w:rsid w:val="00B77F35"/>
    <w:rsid w:val="00B8006B"/>
    <w:rsid w:val="00B803E8"/>
    <w:rsid w:val="00B80F98"/>
    <w:rsid w:val="00B82BA7"/>
    <w:rsid w:val="00B83393"/>
    <w:rsid w:val="00B8420F"/>
    <w:rsid w:val="00B853D6"/>
    <w:rsid w:val="00B86980"/>
    <w:rsid w:val="00B86A59"/>
    <w:rsid w:val="00B87102"/>
    <w:rsid w:val="00B90483"/>
    <w:rsid w:val="00B91111"/>
    <w:rsid w:val="00B91EE6"/>
    <w:rsid w:val="00B91FA1"/>
    <w:rsid w:val="00B94C50"/>
    <w:rsid w:val="00B954D7"/>
    <w:rsid w:val="00B95988"/>
    <w:rsid w:val="00B96429"/>
    <w:rsid w:val="00B96BB5"/>
    <w:rsid w:val="00BA0964"/>
    <w:rsid w:val="00BA24E3"/>
    <w:rsid w:val="00BA2ACF"/>
    <w:rsid w:val="00BA4E6A"/>
    <w:rsid w:val="00BA6130"/>
    <w:rsid w:val="00BA7DD9"/>
    <w:rsid w:val="00BB0253"/>
    <w:rsid w:val="00BB0598"/>
    <w:rsid w:val="00BB3566"/>
    <w:rsid w:val="00BB6262"/>
    <w:rsid w:val="00BB660C"/>
    <w:rsid w:val="00BB7DCC"/>
    <w:rsid w:val="00BC1752"/>
    <w:rsid w:val="00BC5070"/>
    <w:rsid w:val="00BC67B8"/>
    <w:rsid w:val="00BC68B7"/>
    <w:rsid w:val="00BC7C33"/>
    <w:rsid w:val="00BD0644"/>
    <w:rsid w:val="00BD0A75"/>
    <w:rsid w:val="00BD2920"/>
    <w:rsid w:val="00BD33C8"/>
    <w:rsid w:val="00BD4B48"/>
    <w:rsid w:val="00BD58DF"/>
    <w:rsid w:val="00BD5D83"/>
    <w:rsid w:val="00BE00A9"/>
    <w:rsid w:val="00BE03FA"/>
    <w:rsid w:val="00BE0727"/>
    <w:rsid w:val="00BE09DF"/>
    <w:rsid w:val="00BE18B7"/>
    <w:rsid w:val="00BE5679"/>
    <w:rsid w:val="00BE72C5"/>
    <w:rsid w:val="00BE7B1B"/>
    <w:rsid w:val="00BF13D3"/>
    <w:rsid w:val="00BF2D21"/>
    <w:rsid w:val="00BF3E35"/>
    <w:rsid w:val="00BF5E6A"/>
    <w:rsid w:val="00BF6968"/>
    <w:rsid w:val="00BF6F9F"/>
    <w:rsid w:val="00BF7147"/>
    <w:rsid w:val="00C003F6"/>
    <w:rsid w:val="00C01A99"/>
    <w:rsid w:val="00C03F88"/>
    <w:rsid w:val="00C04206"/>
    <w:rsid w:val="00C05BD8"/>
    <w:rsid w:val="00C06114"/>
    <w:rsid w:val="00C10078"/>
    <w:rsid w:val="00C10A7D"/>
    <w:rsid w:val="00C110A4"/>
    <w:rsid w:val="00C11171"/>
    <w:rsid w:val="00C14A6F"/>
    <w:rsid w:val="00C15938"/>
    <w:rsid w:val="00C15A2F"/>
    <w:rsid w:val="00C15B45"/>
    <w:rsid w:val="00C15FE3"/>
    <w:rsid w:val="00C16FB8"/>
    <w:rsid w:val="00C173A3"/>
    <w:rsid w:val="00C173C2"/>
    <w:rsid w:val="00C20201"/>
    <w:rsid w:val="00C21331"/>
    <w:rsid w:val="00C2147C"/>
    <w:rsid w:val="00C21A2B"/>
    <w:rsid w:val="00C21E98"/>
    <w:rsid w:val="00C23DE0"/>
    <w:rsid w:val="00C25792"/>
    <w:rsid w:val="00C26D1C"/>
    <w:rsid w:val="00C31E32"/>
    <w:rsid w:val="00C32CCE"/>
    <w:rsid w:val="00C33E9C"/>
    <w:rsid w:val="00C361FB"/>
    <w:rsid w:val="00C37627"/>
    <w:rsid w:val="00C3795F"/>
    <w:rsid w:val="00C37F3B"/>
    <w:rsid w:val="00C40E32"/>
    <w:rsid w:val="00C42191"/>
    <w:rsid w:val="00C42610"/>
    <w:rsid w:val="00C43B2F"/>
    <w:rsid w:val="00C45BAF"/>
    <w:rsid w:val="00C46E8E"/>
    <w:rsid w:val="00C4718D"/>
    <w:rsid w:val="00C47A20"/>
    <w:rsid w:val="00C47F4E"/>
    <w:rsid w:val="00C50C50"/>
    <w:rsid w:val="00C52C26"/>
    <w:rsid w:val="00C53FD5"/>
    <w:rsid w:val="00C553B1"/>
    <w:rsid w:val="00C55744"/>
    <w:rsid w:val="00C60546"/>
    <w:rsid w:val="00C6060A"/>
    <w:rsid w:val="00C6064D"/>
    <w:rsid w:val="00C6065E"/>
    <w:rsid w:val="00C608E8"/>
    <w:rsid w:val="00C613C3"/>
    <w:rsid w:val="00C62194"/>
    <w:rsid w:val="00C64DB9"/>
    <w:rsid w:val="00C65C86"/>
    <w:rsid w:val="00C66518"/>
    <w:rsid w:val="00C6732F"/>
    <w:rsid w:val="00C7047A"/>
    <w:rsid w:val="00C70DE2"/>
    <w:rsid w:val="00C71145"/>
    <w:rsid w:val="00C7125F"/>
    <w:rsid w:val="00C718D5"/>
    <w:rsid w:val="00C72F31"/>
    <w:rsid w:val="00C73565"/>
    <w:rsid w:val="00C757AB"/>
    <w:rsid w:val="00C7585F"/>
    <w:rsid w:val="00C7728D"/>
    <w:rsid w:val="00C7781C"/>
    <w:rsid w:val="00C81885"/>
    <w:rsid w:val="00C81CE3"/>
    <w:rsid w:val="00C82029"/>
    <w:rsid w:val="00C832A5"/>
    <w:rsid w:val="00C852FB"/>
    <w:rsid w:val="00C858D6"/>
    <w:rsid w:val="00C85B17"/>
    <w:rsid w:val="00C86B85"/>
    <w:rsid w:val="00C86E85"/>
    <w:rsid w:val="00C8726B"/>
    <w:rsid w:val="00C9032D"/>
    <w:rsid w:val="00C912D7"/>
    <w:rsid w:val="00C91B8D"/>
    <w:rsid w:val="00C92297"/>
    <w:rsid w:val="00C93592"/>
    <w:rsid w:val="00C949B2"/>
    <w:rsid w:val="00C949E2"/>
    <w:rsid w:val="00C95D11"/>
    <w:rsid w:val="00C9780C"/>
    <w:rsid w:val="00CA4E6B"/>
    <w:rsid w:val="00CA59A6"/>
    <w:rsid w:val="00CA6306"/>
    <w:rsid w:val="00CA6A5B"/>
    <w:rsid w:val="00CA7F36"/>
    <w:rsid w:val="00CB1AAA"/>
    <w:rsid w:val="00CB2D5F"/>
    <w:rsid w:val="00CB4C52"/>
    <w:rsid w:val="00CB59B6"/>
    <w:rsid w:val="00CB78F3"/>
    <w:rsid w:val="00CC119F"/>
    <w:rsid w:val="00CC362F"/>
    <w:rsid w:val="00CC5D1B"/>
    <w:rsid w:val="00CC5EFF"/>
    <w:rsid w:val="00CD05BA"/>
    <w:rsid w:val="00CD2544"/>
    <w:rsid w:val="00CD2C09"/>
    <w:rsid w:val="00CD375A"/>
    <w:rsid w:val="00CD5795"/>
    <w:rsid w:val="00CE0438"/>
    <w:rsid w:val="00CE29CA"/>
    <w:rsid w:val="00CE4282"/>
    <w:rsid w:val="00CE438D"/>
    <w:rsid w:val="00CE4480"/>
    <w:rsid w:val="00CE469E"/>
    <w:rsid w:val="00CE4A81"/>
    <w:rsid w:val="00CE6103"/>
    <w:rsid w:val="00CE7503"/>
    <w:rsid w:val="00CE7E4D"/>
    <w:rsid w:val="00CF1CA4"/>
    <w:rsid w:val="00CF54F9"/>
    <w:rsid w:val="00CF56FF"/>
    <w:rsid w:val="00CF5BD3"/>
    <w:rsid w:val="00CF7FF3"/>
    <w:rsid w:val="00D00415"/>
    <w:rsid w:val="00D014A0"/>
    <w:rsid w:val="00D01994"/>
    <w:rsid w:val="00D02796"/>
    <w:rsid w:val="00D03985"/>
    <w:rsid w:val="00D03C79"/>
    <w:rsid w:val="00D040AE"/>
    <w:rsid w:val="00D051A5"/>
    <w:rsid w:val="00D07804"/>
    <w:rsid w:val="00D10BEC"/>
    <w:rsid w:val="00D13BAB"/>
    <w:rsid w:val="00D13F25"/>
    <w:rsid w:val="00D143CF"/>
    <w:rsid w:val="00D1446D"/>
    <w:rsid w:val="00D158E7"/>
    <w:rsid w:val="00D15A0B"/>
    <w:rsid w:val="00D16748"/>
    <w:rsid w:val="00D169C3"/>
    <w:rsid w:val="00D17EB1"/>
    <w:rsid w:val="00D17FB4"/>
    <w:rsid w:val="00D22C40"/>
    <w:rsid w:val="00D2378B"/>
    <w:rsid w:val="00D26795"/>
    <w:rsid w:val="00D26AFB"/>
    <w:rsid w:val="00D27330"/>
    <w:rsid w:val="00D319A8"/>
    <w:rsid w:val="00D34326"/>
    <w:rsid w:val="00D35991"/>
    <w:rsid w:val="00D35FBE"/>
    <w:rsid w:val="00D401EB"/>
    <w:rsid w:val="00D41FA8"/>
    <w:rsid w:val="00D4256E"/>
    <w:rsid w:val="00D4367D"/>
    <w:rsid w:val="00D43880"/>
    <w:rsid w:val="00D438E7"/>
    <w:rsid w:val="00D44156"/>
    <w:rsid w:val="00D45C57"/>
    <w:rsid w:val="00D45CD6"/>
    <w:rsid w:val="00D465C2"/>
    <w:rsid w:val="00D4681B"/>
    <w:rsid w:val="00D46FFF"/>
    <w:rsid w:val="00D47A8F"/>
    <w:rsid w:val="00D514BB"/>
    <w:rsid w:val="00D5171E"/>
    <w:rsid w:val="00D51879"/>
    <w:rsid w:val="00D52BAE"/>
    <w:rsid w:val="00D52D09"/>
    <w:rsid w:val="00D556A0"/>
    <w:rsid w:val="00D5656C"/>
    <w:rsid w:val="00D57FDC"/>
    <w:rsid w:val="00D60785"/>
    <w:rsid w:val="00D6155A"/>
    <w:rsid w:val="00D63032"/>
    <w:rsid w:val="00D64151"/>
    <w:rsid w:val="00D64E98"/>
    <w:rsid w:val="00D6521B"/>
    <w:rsid w:val="00D65F58"/>
    <w:rsid w:val="00D66463"/>
    <w:rsid w:val="00D66E76"/>
    <w:rsid w:val="00D67A55"/>
    <w:rsid w:val="00D67C8C"/>
    <w:rsid w:val="00D706F9"/>
    <w:rsid w:val="00D711B4"/>
    <w:rsid w:val="00D71624"/>
    <w:rsid w:val="00D721EB"/>
    <w:rsid w:val="00D73EB2"/>
    <w:rsid w:val="00D74062"/>
    <w:rsid w:val="00D754DD"/>
    <w:rsid w:val="00D75A1A"/>
    <w:rsid w:val="00D75CAD"/>
    <w:rsid w:val="00D75D92"/>
    <w:rsid w:val="00D76BC1"/>
    <w:rsid w:val="00D7748A"/>
    <w:rsid w:val="00D80183"/>
    <w:rsid w:val="00D81CE9"/>
    <w:rsid w:val="00D84F66"/>
    <w:rsid w:val="00D8527C"/>
    <w:rsid w:val="00D8698E"/>
    <w:rsid w:val="00D91606"/>
    <w:rsid w:val="00D927B0"/>
    <w:rsid w:val="00D958B8"/>
    <w:rsid w:val="00D97FC3"/>
    <w:rsid w:val="00DA05B1"/>
    <w:rsid w:val="00DA31CD"/>
    <w:rsid w:val="00DA328C"/>
    <w:rsid w:val="00DA3379"/>
    <w:rsid w:val="00DA4D03"/>
    <w:rsid w:val="00DA6DDF"/>
    <w:rsid w:val="00DA722F"/>
    <w:rsid w:val="00DA792E"/>
    <w:rsid w:val="00DA7C5A"/>
    <w:rsid w:val="00DB170E"/>
    <w:rsid w:val="00DB42D1"/>
    <w:rsid w:val="00DB4819"/>
    <w:rsid w:val="00DB4962"/>
    <w:rsid w:val="00DB4AA7"/>
    <w:rsid w:val="00DB552A"/>
    <w:rsid w:val="00DB5856"/>
    <w:rsid w:val="00DB5F67"/>
    <w:rsid w:val="00DB611D"/>
    <w:rsid w:val="00DB6A28"/>
    <w:rsid w:val="00DB7ED5"/>
    <w:rsid w:val="00DC13E9"/>
    <w:rsid w:val="00DC1B28"/>
    <w:rsid w:val="00DC1E5E"/>
    <w:rsid w:val="00DC291A"/>
    <w:rsid w:val="00DD219E"/>
    <w:rsid w:val="00DD224D"/>
    <w:rsid w:val="00DD2D42"/>
    <w:rsid w:val="00DD37BC"/>
    <w:rsid w:val="00DD43E1"/>
    <w:rsid w:val="00DD6229"/>
    <w:rsid w:val="00DE0732"/>
    <w:rsid w:val="00DE0CF0"/>
    <w:rsid w:val="00DE1C21"/>
    <w:rsid w:val="00DE4EC6"/>
    <w:rsid w:val="00DE5637"/>
    <w:rsid w:val="00DE595E"/>
    <w:rsid w:val="00DE65CF"/>
    <w:rsid w:val="00DE701F"/>
    <w:rsid w:val="00DE7101"/>
    <w:rsid w:val="00DF149D"/>
    <w:rsid w:val="00DF18FA"/>
    <w:rsid w:val="00DF1905"/>
    <w:rsid w:val="00DF4285"/>
    <w:rsid w:val="00DF5876"/>
    <w:rsid w:val="00DF71A7"/>
    <w:rsid w:val="00DF737A"/>
    <w:rsid w:val="00E00E5B"/>
    <w:rsid w:val="00E00F8A"/>
    <w:rsid w:val="00E0144E"/>
    <w:rsid w:val="00E01965"/>
    <w:rsid w:val="00E028BA"/>
    <w:rsid w:val="00E078AF"/>
    <w:rsid w:val="00E10449"/>
    <w:rsid w:val="00E10845"/>
    <w:rsid w:val="00E12987"/>
    <w:rsid w:val="00E163F4"/>
    <w:rsid w:val="00E1702D"/>
    <w:rsid w:val="00E208E9"/>
    <w:rsid w:val="00E20CA8"/>
    <w:rsid w:val="00E20D8E"/>
    <w:rsid w:val="00E21B10"/>
    <w:rsid w:val="00E22F99"/>
    <w:rsid w:val="00E241F1"/>
    <w:rsid w:val="00E25818"/>
    <w:rsid w:val="00E25E41"/>
    <w:rsid w:val="00E2758D"/>
    <w:rsid w:val="00E27F06"/>
    <w:rsid w:val="00E30E5D"/>
    <w:rsid w:val="00E31054"/>
    <w:rsid w:val="00E337FB"/>
    <w:rsid w:val="00E34522"/>
    <w:rsid w:val="00E34886"/>
    <w:rsid w:val="00E34972"/>
    <w:rsid w:val="00E365AF"/>
    <w:rsid w:val="00E37129"/>
    <w:rsid w:val="00E40792"/>
    <w:rsid w:val="00E40C2E"/>
    <w:rsid w:val="00E40D91"/>
    <w:rsid w:val="00E40FE6"/>
    <w:rsid w:val="00E4133B"/>
    <w:rsid w:val="00E42CEB"/>
    <w:rsid w:val="00E4480F"/>
    <w:rsid w:val="00E5008C"/>
    <w:rsid w:val="00E50342"/>
    <w:rsid w:val="00E50BD9"/>
    <w:rsid w:val="00E523DD"/>
    <w:rsid w:val="00E534A4"/>
    <w:rsid w:val="00E543FD"/>
    <w:rsid w:val="00E54B44"/>
    <w:rsid w:val="00E5542F"/>
    <w:rsid w:val="00E55B02"/>
    <w:rsid w:val="00E57950"/>
    <w:rsid w:val="00E60B38"/>
    <w:rsid w:val="00E611F9"/>
    <w:rsid w:val="00E617FB"/>
    <w:rsid w:val="00E62437"/>
    <w:rsid w:val="00E6261E"/>
    <w:rsid w:val="00E63F0B"/>
    <w:rsid w:val="00E640FB"/>
    <w:rsid w:val="00E64607"/>
    <w:rsid w:val="00E64665"/>
    <w:rsid w:val="00E64EF6"/>
    <w:rsid w:val="00E67F93"/>
    <w:rsid w:val="00E70DC1"/>
    <w:rsid w:val="00E71FC1"/>
    <w:rsid w:val="00E728D8"/>
    <w:rsid w:val="00E7345E"/>
    <w:rsid w:val="00E738DD"/>
    <w:rsid w:val="00E73E10"/>
    <w:rsid w:val="00E74121"/>
    <w:rsid w:val="00E756C0"/>
    <w:rsid w:val="00E76DE7"/>
    <w:rsid w:val="00E8106E"/>
    <w:rsid w:val="00E83304"/>
    <w:rsid w:val="00E833EC"/>
    <w:rsid w:val="00E843EC"/>
    <w:rsid w:val="00E84505"/>
    <w:rsid w:val="00E84527"/>
    <w:rsid w:val="00E84BEC"/>
    <w:rsid w:val="00E86336"/>
    <w:rsid w:val="00E8677F"/>
    <w:rsid w:val="00E87F02"/>
    <w:rsid w:val="00E87FD0"/>
    <w:rsid w:val="00E9168A"/>
    <w:rsid w:val="00E91D7F"/>
    <w:rsid w:val="00E923DC"/>
    <w:rsid w:val="00E92BAA"/>
    <w:rsid w:val="00E9696E"/>
    <w:rsid w:val="00E96A85"/>
    <w:rsid w:val="00E97A72"/>
    <w:rsid w:val="00EA055C"/>
    <w:rsid w:val="00EA3C3D"/>
    <w:rsid w:val="00EA4096"/>
    <w:rsid w:val="00EA51DB"/>
    <w:rsid w:val="00EA5D1D"/>
    <w:rsid w:val="00EA60D5"/>
    <w:rsid w:val="00EA6533"/>
    <w:rsid w:val="00EB19FB"/>
    <w:rsid w:val="00EB1C3C"/>
    <w:rsid w:val="00EB1E53"/>
    <w:rsid w:val="00EB2283"/>
    <w:rsid w:val="00EB23E7"/>
    <w:rsid w:val="00EB3E65"/>
    <w:rsid w:val="00EB4B50"/>
    <w:rsid w:val="00EB4D1B"/>
    <w:rsid w:val="00EB4F52"/>
    <w:rsid w:val="00EB5BA4"/>
    <w:rsid w:val="00EB5C9D"/>
    <w:rsid w:val="00EB6F2B"/>
    <w:rsid w:val="00EC0900"/>
    <w:rsid w:val="00EC1939"/>
    <w:rsid w:val="00EC3EC5"/>
    <w:rsid w:val="00EC58CE"/>
    <w:rsid w:val="00EC6316"/>
    <w:rsid w:val="00EC78A2"/>
    <w:rsid w:val="00ED1247"/>
    <w:rsid w:val="00ED1315"/>
    <w:rsid w:val="00ED174D"/>
    <w:rsid w:val="00ED3816"/>
    <w:rsid w:val="00ED4BAA"/>
    <w:rsid w:val="00ED4E6E"/>
    <w:rsid w:val="00ED7228"/>
    <w:rsid w:val="00EE035E"/>
    <w:rsid w:val="00EE1787"/>
    <w:rsid w:val="00EE1D0B"/>
    <w:rsid w:val="00EE37AC"/>
    <w:rsid w:val="00EE4458"/>
    <w:rsid w:val="00EE4689"/>
    <w:rsid w:val="00EE48D3"/>
    <w:rsid w:val="00EE67B2"/>
    <w:rsid w:val="00EF054A"/>
    <w:rsid w:val="00EF0742"/>
    <w:rsid w:val="00EF138B"/>
    <w:rsid w:val="00EF2515"/>
    <w:rsid w:val="00EF3596"/>
    <w:rsid w:val="00EF4A99"/>
    <w:rsid w:val="00EF5162"/>
    <w:rsid w:val="00EF69F4"/>
    <w:rsid w:val="00EF6F72"/>
    <w:rsid w:val="00EF7D8B"/>
    <w:rsid w:val="00F01BAE"/>
    <w:rsid w:val="00F02F8C"/>
    <w:rsid w:val="00F03224"/>
    <w:rsid w:val="00F03AD2"/>
    <w:rsid w:val="00F04BBA"/>
    <w:rsid w:val="00F105BE"/>
    <w:rsid w:val="00F12FAC"/>
    <w:rsid w:val="00F13694"/>
    <w:rsid w:val="00F1373A"/>
    <w:rsid w:val="00F14337"/>
    <w:rsid w:val="00F15366"/>
    <w:rsid w:val="00F16111"/>
    <w:rsid w:val="00F16181"/>
    <w:rsid w:val="00F17997"/>
    <w:rsid w:val="00F17EF0"/>
    <w:rsid w:val="00F206C3"/>
    <w:rsid w:val="00F20A19"/>
    <w:rsid w:val="00F229F4"/>
    <w:rsid w:val="00F23CF7"/>
    <w:rsid w:val="00F24392"/>
    <w:rsid w:val="00F256AA"/>
    <w:rsid w:val="00F26385"/>
    <w:rsid w:val="00F26639"/>
    <w:rsid w:val="00F2790D"/>
    <w:rsid w:val="00F27EA3"/>
    <w:rsid w:val="00F30026"/>
    <w:rsid w:val="00F305BB"/>
    <w:rsid w:val="00F30671"/>
    <w:rsid w:val="00F3217C"/>
    <w:rsid w:val="00F33E24"/>
    <w:rsid w:val="00F34239"/>
    <w:rsid w:val="00F35A81"/>
    <w:rsid w:val="00F36405"/>
    <w:rsid w:val="00F36E30"/>
    <w:rsid w:val="00F40B19"/>
    <w:rsid w:val="00F41521"/>
    <w:rsid w:val="00F42321"/>
    <w:rsid w:val="00F45350"/>
    <w:rsid w:val="00F46CB7"/>
    <w:rsid w:val="00F46FCE"/>
    <w:rsid w:val="00F53E28"/>
    <w:rsid w:val="00F55B5F"/>
    <w:rsid w:val="00F55C40"/>
    <w:rsid w:val="00F55C45"/>
    <w:rsid w:val="00F56723"/>
    <w:rsid w:val="00F57C80"/>
    <w:rsid w:val="00F60B02"/>
    <w:rsid w:val="00F61576"/>
    <w:rsid w:val="00F62F19"/>
    <w:rsid w:val="00F643A9"/>
    <w:rsid w:val="00F65B8F"/>
    <w:rsid w:val="00F703A7"/>
    <w:rsid w:val="00F70538"/>
    <w:rsid w:val="00F71387"/>
    <w:rsid w:val="00F71649"/>
    <w:rsid w:val="00F71753"/>
    <w:rsid w:val="00F72042"/>
    <w:rsid w:val="00F72B2C"/>
    <w:rsid w:val="00F731A8"/>
    <w:rsid w:val="00F74CA6"/>
    <w:rsid w:val="00F74F95"/>
    <w:rsid w:val="00F7504E"/>
    <w:rsid w:val="00F757EA"/>
    <w:rsid w:val="00F75EE3"/>
    <w:rsid w:val="00F77536"/>
    <w:rsid w:val="00F800B9"/>
    <w:rsid w:val="00F80686"/>
    <w:rsid w:val="00F8115B"/>
    <w:rsid w:val="00F8251F"/>
    <w:rsid w:val="00F82966"/>
    <w:rsid w:val="00F83C21"/>
    <w:rsid w:val="00F91246"/>
    <w:rsid w:val="00F91A15"/>
    <w:rsid w:val="00F951B4"/>
    <w:rsid w:val="00F95D4B"/>
    <w:rsid w:val="00FA035E"/>
    <w:rsid w:val="00FA0AF9"/>
    <w:rsid w:val="00FA1279"/>
    <w:rsid w:val="00FA3847"/>
    <w:rsid w:val="00FA7809"/>
    <w:rsid w:val="00FB0560"/>
    <w:rsid w:val="00FB094A"/>
    <w:rsid w:val="00FB1598"/>
    <w:rsid w:val="00FB15D3"/>
    <w:rsid w:val="00FB3874"/>
    <w:rsid w:val="00FB3AE9"/>
    <w:rsid w:val="00FB56D7"/>
    <w:rsid w:val="00FB57AD"/>
    <w:rsid w:val="00FB5BEB"/>
    <w:rsid w:val="00FB64FA"/>
    <w:rsid w:val="00FB65A0"/>
    <w:rsid w:val="00FB7253"/>
    <w:rsid w:val="00FB772C"/>
    <w:rsid w:val="00FC1446"/>
    <w:rsid w:val="00FC1EE5"/>
    <w:rsid w:val="00FC2040"/>
    <w:rsid w:val="00FC2D29"/>
    <w:rsid w:val="00FC417C"/>
    <w:rsid w:val="00FC5CDE"/>
    <w:rsid w:val="00FC6B1A"/>
    <w:rsid w:val="00FC6C31"/>
    <w:rsid w:val="00FC6E1E"/>
    <w:rsid w:val="00FC7F44"/>
    <w:rsid w:val="00FD1EC3"/>
    <w:rsid w:val="00FD24BE"/>
    <w:rsid w:val="00FD60ED"/>
    <w:rsid w:val="00FD6431"/>
    <w:rsid w:val="00FD7293"/>
    <w:rsid w:val="00FD72BA"/>
    <w:rsid w:val="00FE0D0B"/>
    <w:rsid w:val="00FE1CD3"/>
    <w:rsid w:val="00FE1D6E"/>
    <w:rsid w:val="00FE3ABC"/>
    <w:rsid w:val="00FE45BB"/>
    <w:rsid w:val="00FE515E"/>
    <w:rsid w:val="00FE5167"/>
    <w:rsid w:val="00FE54B4"/>
    <w:rsid w:val="00FE54B9"/>
    <w:rsid w:val="00FE5AB5"/>
    <w:rsid w:val="00FE5CB5"/>
    <w:rsid w:val="00FF1336"/>
    <w:rsid w:val="00FF4A27"/>
    <w:rsid w:val="00FF5452"/>
    <w:rsid w:val="00FF5935"/>
    <w:rsid w:val="00FF62B6"/>
    <w:rsid w:val="00FF7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color="none [3213]">
      <v:fill color="white" on="f"/>
      <v:stroke color="none [3213]" weight="1pt"/>
    </o:shapedefaults>
    <o:shapelayout v:ext="edit">
      <o:idmap v:ext="edit" data="1"/>
    </o:shapelayout>
  </w:shapeDefaults>
  <w:decimalSymbol w:val="."/>
  <w:listSeparator w:val=";"/>
  <w14:docId w14:val="4125C2FE"/>
  <w15:chartTrackingRefBased/>
  <w15:docId w15:val="{3C0A4E2E-ADB8-4766-89D5-50F59F55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5393"/>
    <w:pPr>
      <w:overflowPunct w:val="0"/>
      <w:autoSpaceDE w:val="0"/>
      <w:autoSpaceDN w:val="0"/>
      <w:adjustRightInd w:val="0"/>
      <w:spacing w:after="180"/>
      <w:textAlignment w:val="baseline"/>
    </w:pPr>
    <w:rPr>
      <w:rFonts w:ascii="Times New Roman" w:hAnsi="Times New Roman"/>
      <w:sz w:val="21"/>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C73565"/>
    <w:pPr>
      <w:numPr>
        <w:ilvl w:val="7"/>
        <w:numId w:val="10"/>
      </w:numPr>
      <w:pBdr>
        <w:top w:val="none" w:sz="0" w:space="0" w:color="auto"/>
      </w:pBdr>
      <w:outlineLvl w:val="7"/>
    </w:pPr>
    <w:rPr>
      <w:sz w:val="28"/>
      <w:lang w:eastAsia="x-none"/>
    </w:r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lang w:eastAsia="x-none"/>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rPr>
      <w:lang w:eastAsia="x-none"/>
    </w:r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rPr>
      <w:lang w:eastAsia="x-none"/>
    </w:r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lang w:eastAsia="x-none"/>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lang w:eastAsia="x-none"/>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rPr>
      <w:lang w:eastAsia="x-none"/>
    </w:rPr>
  </w:style>
  <w:style w:type="paragraph" w:customStyle="1" w:styleId="B2">
    <w:name w:val="B2"/>
    <w:basedOn w:val="List2"/>
    <w:link w:val="B2Char"/>
    <w:rsid w:val="007F2C04"/>
    <w:rPr>
      <w:lang w:eastAsia="x-none"/>
    </w:rPr>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lang w:val="x-none" w:eastAsia="x-none"/>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C73565"/>
    <w:rPr>
      <w:rFonts w:ascii="Arial" w:hAnsi="Arial"/>
      <w:sz w:val="28"/>
      <w:lang w:val="en-GB" w:eastAsia="x-none"/>
    </w:rPr>
  </w:style>
  <w:style w:type="character" w:customStyle="1" w:styleId="Heading9Char">
    <w:name w:val="Heading 9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szCs w:val="22"/>
      <w:lang w:eastAsia="x-none"/>
    </w:rPr>
  </w:style>
  <w:style w:type="character" w:customStyle="1" w:styleId="Char0">
    <w:name w:val="参考资料列表 Char"/>
    <w:link w:val="a2"/>
    <w:rsid w:val="009565CB"/>
    <w:rPr>
      <w:rFonts w:ascii="Times New Roman" w:eastAsia="SimSun" w:hAnsi="Times New Roman"/>
      <w:sz w:val="21"/>
      <w:szCs w:val="22"/>
      <w:lang w:val="en-GB"/>
    </w:rPr>
  </w:style>
  <w:style w:type="paragraph" w:customStyle="1" w:styleId="Doc-text2">
    <w:name w:val="Doc-text2"/>
    <w:basedOn w:val="Normal"/>
    <w:link w:val="Doc-text2Char"/>
    <w:qFormat/>
    <w:rsid w:val="005C358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582"/>
    <w:rPr>
      <w:rFonts w:ascii="Arial" w:eastAsia="MS Mincho" w:hAnsi="Arial"/>
      <w:szCs w:val="24"/>
      <w:lang w:val="en-GB" w:eastAsia="en-GB"/>
    </w:rPr>
  </w:style>
  <w:style w:type="character" w:customStyle="1" w:styleId="B1Char1">
    <w:name w:val="B1 Char1"/>
    <w:rsid w:val="000F0E08"/>
    <w:rPr>
      <w:rFonts w:eastAsia="Times New Roman"/>
      <w:lang w:val="en-GB"/>
    </w:rPr>
  </w:style>
  <w:style w:type="character" w:customStyle="1" w:styleId="ListParagraphChar">
    <w:name w:val="List Paragraph Char"/>
    <w:link w:val="ListParagraph"/>
    <w:uiPriority w:val="34"/>
    <w:locked/>
    <w:rsid w:val="002267BF"/>
    <w:rPr>
      <w:rFonts w:ascii="Times New Roman" w:hAnsi="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4090">
      <w:bodyDiv w:val="1"/>
      <w:marLeft w:val="0"/>
      <w:marRight w:val="0"/>
      <w:marTop w:val="0"/>
      <w:marBottom w:val="0"/>
      <w:divBdr>
        <w:top w:val="none" w:sz="0" w:space="0" w:color="auto"/>
        <w:left w:val="none" w:sz="0" w:space="0" w:color="auto"/>
        <w:bottom w:val="none" w:sz="0" w:space="0" w:color="auto"/>
        <w:right w:val="none" w:sz="0" w:space="0" w:color="auto"/>
      </w:divBdr>
    </w:div>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9203317">
      <w:bodyDiv w:val="1"/>
      <w:marLeft w:val="0"/>
      <w:marRight w:val="0"/>
      <w:marTop w:val="0"/>
      <w:marBottom w:val="0"/>
      <w:divBdr>
        <w:top w:val="none" w:sz="0" w:space="0" w:color="auto"/>
        <w:left w:val="none" w:sz="0" w:space="0" w:color="auto"/>
        <w:bottom w:val="none" w:sz="0" w:space="0" w:color="auto"/>
        <w:right w:val="none" w:sz="0" w:space="0" w:color="auto"/>
      </w:divBdr>
      <w:divsChild>
        <w:div w:id="123279473">
          <w:marLeft w:val="360"/>
          <w:marRight w:val="0"/>
          <w:marTop w:val="200"/>
          <w:marBottom w:val="0"/>
          <w:divBdr>
            <w:top w:val="none" w:sz="0" w:space="0" w:color="auto"/>
            <w:left w:val="none" w:sz="0" w:space="0" w:color="auto"/>
            <w:bottom w:val="none" w:sz="0" w:space="0" w:color="auto"/>
            <w:right w:val="none" w:sz="0" w:space="0" w:color="auto"/>
          </w:divBdr>
        </w:div>
        <w:div w:id="419300835">
          <w:marLeft w:val="360"/>
          <w:marRight w:val="0"/>
          <w:marTop w:val="200"/>
          <w:marBottom w:val="0"/>
          <w:divBdr>
            <w:top w:val="none" w:sz="0" w:space="0" w:color="auto"/>
            <w:left w:val="none" w:sz="0" w:space="0" w:color="auto"/>
            <w:bottom w:val="none" w:sz="0" w:space="0" w:color="auto"/>
            <w:right w:val="none" w:sz="0" w:space="0" w:color="auto"/>
          </w:divBdr>
        </w:div>
        <w:div w:id="523252582">
          <w:marLeft w:val="360"/>
          <w:marRight w:val="0"/>
          <w:marTop w:val="200"/>
          <w:marBottom w:val="0"/>
          <w:divBdr>
            <w:top w:val="none" w:sz="0" w:space="0" w:color="auto"/>
            <w:left w:val="none" w:sz="0" w:space="0" w:color="auto"/>
            <w:bottom w:val="none" w:sz="0" w:space="0" w:color="auto"/>
            <w:right w:val="none" w:sz="0" w:space="0" w:color="auto"/>
          </w:divBdr>
        </w:div>
        <w:div w:id="949970558">
          <w:marLeft w:val="360"/>
          <w:marRight w:val="0"/>
          <w:marTop w:val="200"/>
          <w:marBottom w:val="0"/>
          <w:divBdr>
            <w:top w:val="none" w:sz="0" w:space="0" w:color="auto"/>
            <w:left w:val="none" w:sz="0" w:space="0" w:color="auto"/>
            <w:bottom w:val="none" w:sz="0" w:space="0" w:color="auto"/>
            <w:right w:val="none" w:sz="0" w:space="0" w:color="auto"/>
          </w:divBdr>
        </w:div>
        <w:div w:id="1030640722">
          <w:marLeft w:val="360"/>
          <w:marRight w:val="0"/>
          <w:marTop w:val="200"/>
          <w:marBottom w:val="0"/>
          <w:divBdr>
            <w:top w:val="none" w:sz="0" w:space="0" w:color="auto"/>
            <w:left w:val="none" w:sz="0" w:space="0" w:color="auto"/>
            <w:bottom w:val="none" w:sz="0" w:space="0" w:color="auto"/>
            <w:right w:val="none" w:sz="0" w:space="0" w:color="auto"/>
          </w:divBdr>
        </w:div>
        <w:div w:id="1074621851">
          <w:marLeft w:val="360"/>
          <w:marRight w:val="0"/>
          <w:marTop w:val="200"/>
          <w:marBottom w:val="0"/>
          <w:divBdr>
            <w:top w:val="none" w:sz="0" w:space="0" w:color="auto"/>
            <w:left w:val="none" w:sz="0" w:space="0" w:color="auto"/>
            <w:bottom w:val="none" w:sz="0" w:space="0" w:color="auto"/>
            <w:right w:val="none" w:sz="0" w:space="0" w:color="auto"/>
          </w:divBdr>
        </w:div>
        <w:div w:id="1359351886">
          <w:marLeft w:val="360"/>
          <w:marRight w:val="0"/>
          <w:marTop w:val="200"/>
          <w:marBottom w:val="0"/>
          <w:divBdr>
            <w:top w:val="none" w:sz="0" w:space="0" w:color="auto"/>
            <w:left w:val="none" w:sz="0" w:space="0" w:color="auto"/>
            <w:bottom w:val="none" w:sz="0" w:space="0" w:color="auto"/>
            <w:right w:val="none" w:sz="0" w:space="0" w:color="auto"/>
          </w:divBdr>
        </w:div>
        <w:div w:id="1852260645">
          <w:marLeft w:val="360"/>
          <w:marRight w:val="0"/>
          <w:marTop w:val="200"/>
          <w:marBottom w:val="0"/>
          <w:divBdr>
            <w:top w:val="none" w:sz="0" w:space="0" w:color="auto"/>
            <w:left w:val="none" w:sz="0" w:space="0" w:color="auto"/>
            <w:bottom w:val="none" w:sz="0" w:space="0" w:color="auto"/>
            <w:right w:val="none" w:sz="0" w:space="0" w:color="auto"/>
          </w:divBdr>
        </w:div>
        <w:div w:id="1867476943">
          <w:marLeft w:val="360"/>
          <w:marRight w:val="0"/>
          <w:marTop w:val="200"/>
          <w:marBottom w:val="0"/>
          <w:divBdr>
            <w:top w:val="none" w:sz="0" w:space="0" w:color="auto"/>
            <w:left w:val="none" w:sz="0" w:space="0" w:color="auto"/>
            <w:bottom w:val="none" w:sz="0" w:space="0" w:color="auto"/>
            <w:right w:val="none" w:sz="0" w:space="0" w:color="auto"/>
          </w:divBdr>
        </w:div>
        <w:div w:id="2028554519">
          <w:marLeft w:val="360"/>
          <w:marRight w:val="0"/>
          <w:marTop w:val="200"/>
          <w:marBottom w:val="0"/>
          <w:divBdr>
            <w:top w:val="none" w:sz="0" w:space="0" w:color="auto"/>
            <w:left w:val="none" w:sz="0" w:space="0" w:color="auto"/>
            <w:bottom w:val="none" w:sz="0" w:space="0" w:color="auto"/>
            <w:right w:val="none" w:sz="0" w:space="0" w:color="auto"/>
          </w:divBdr>
        </w:div>
      </w:divsChild>
    </w:div>
    <w:div w:id="143931090">
      <w:bodyDiv w:val="1"/>
      <w:marLeft w:val="0"/>
      <w:marRight w:val="0"/>
      <w:marTop w:val="0"/>
      <w:marBottom w:val="0"/>
      <w:divBdr>
        <w:top w:val="none" w:sz="0" w:space="0" w:color="auto"/>
        <w:left w:val="none" w:sz="0" w:space="0" w:color="auto"/>
        <w:bottom w:val="none" w:sz="0" w:space="0" w:color="auto"/>
        <w:right w:val="none" w:sz="0" w:space="0" w:color="auto"/>
      </w:divBdr>
    </w:div>
    <w:div w:id="172426096">
      <w:bodyDiv w:val="1"/>
      <w:marLeft w:val="0"/>
      <w:marRight w:val="0"/>
      <w:marTop w:val="0"/>
      <w:marBottom w:val="0"/>
      <w:divBdr>
        <w:top w:val="none" w:sz="0" w:space="0" w:color="auto"/>
        <w:left w:val="none" w:sz="0" w:space="0" w:color="auto"/>
        <w:bottom w:val="none" w:sz="0" w:space="0" w:color="auto"/>
        <w:right w:val="none" w:sz="0" w:space="0" w:color="auto"/>
      </w:divBdr>
      <w:divsChild>
        <w:div w:id="542525982">
          <w:marLeft w:val="1166"/>
          <w:marRight w:val="0"/>
          <w:marTop w:val="77"/>
          <w:marBottom w:val="0"/>
          <w:divBdr>
            <w:top w:val="none" w:sz="0" w:space="0" w:color="auto"/>
            <w:left w:val="none" w:sz="0" w:space="0" w:color="auto"/>
            <w:bottom w:val="none" w:sz="0" w:space="0" w:color="auto"/>
            <w:right w:val="none" w:sz="0" w:space="0" w:color="auto"/>
          </w:divBdr>
        </w:div>
      </w:divsChild>
    </w:div>
    <w:div w:id="174728030">
      <w:bodyDiv w:val="1"/>
      <w:marLeft w:val="0"/>
      <w:marRight w:val="0"/>
      <w:marTop w:val="0"/>
      <w:marBottom w:val="0"/>
      <w:divBdr>
        <w:top w:val="none" w:sz="0" w:space="0" w:color="auto"/>
        <w:left w:val="none" w:sz="0" w:space="0" w:color="auto"/>
        <w:bottom w:val="none" w:sz="0" w:space="0" w:color="auto"/>
        <w:right w:val="none" w:sz="0" w:space="0" w:color="auto"/>
      </w:divBdr>
      <w:divsChild>
        <w:div w:id="85687105">
          <w:marLeft w:val="1166"/>
          <w:marRight w:val="0"/>
          <w:marTop w:val="77"/>
          <w:marBottom w:val="0"/>
          <w:divBdr>
            <w:top w:val="none" w:sz="0" w:space="0" w:color="auto"/>
            <w:left w:val="none" w:sz="0" w:space="0" w:color="auto"/>
            <w:bottom w:val="none" w:sz="0" w:space="0" w:color="auto"/>
            <w:right w:val="none" w:sz="0" w:space="0" w:color="auto"/>
          </w:divBdr>
        </w:div>
        <w:div w:id="254438614">
          <w:marLeft w:val="1166"/>
          <w:marRight w:val="0"/>
          <w:marTop w:val="77"/>
          <w:marBottom w:val="0"/>
          <w:divBdr>
            <w:top w:val="none" w:sz="0" w:space="0" w:color="auto"/>
            <w:left w:val="none" w:sz="0" w:space="0" w:color="auto"/>
            <w:bottom w:val="none" w:sz="0" w:space="0" w:color="auto"/>
            <w:right w:val="none" w:sz="0" w:space="0" w:color="auto"/>
          </w:divBdr>
        </w:div>
        <w:div w:id="346634609">
          <w:marLeft w:val="1166"/>
          <w:marRight w:val="0"/>
          <w:marTop w:val="77"/>
          <w:marBottom w:val="0"/>
          <w:divBdr>
            <w:top w:val="none" w:sz="0" w:space="0" w:color="auto"/>
            <w:left w:val="none" w:sz="0" w:space="0" w:color="auto"/>
            <w:bottom w:val="none" w:sz="0" w:space="0" w:color="auto"/>
            <w:right w:val="none" w:sz="0" w:space="0" w:color="auto"/>
          </w:divBdr>
        </w:div>
        <w:div w:id="1049842626">
          <w:marLeft w:val="1166"/>
          <w:marRight w:val="0"/>
          <w:marTop w:val="77"/>
          <w:marBottom w:val="0"/>
          <w:divBdr>
            <w:top w:val="none" w:sz="0" w:space="0" w:color="auto"/>
            <w:left w:val="none" w:sz="0" w:space="0" w:color="auto"/>
            <w:bottom w:val="none" w:sz="0" w:space="0" w:color="auto"/>
            <w:right w:val="none" w:sz="0" w:space="0" w:color="auto"/>
          </w:divBdr>
        </w:div>
        <w:div w:id="1294866507">
          <w:marLeft w:val="547"/>
          <w:marRight w:val="0"/>
          <w:marTop w:val="96"/>
          <w:marBottom w:val="0"/>
          <w:divBdr>
            <w:top w:val="none" w:sz="0" w:space="0" w:color="auto"/>
            <w:left w:val="none" w:sz="0" w:space="0" w:color="auto"/>
            <w:bottom w:val="none" w:sz="0" w:space="0" w:color="auto"/>
            <w:right w:val="none" w:sz="0" w:space="0" w:color="auto"/>
          </w:divBdr>
        </w:div>
        <w:div w:id="1449550128">
          <w:marLeft w:val="1166"/>
          <w:marRight w:val="0"/>
          <w:marTop w:val="77"/>
          <w:marBottom w:val="0"/>
          <w:divBdr>
            <w:top w:val="none" w:sz="0" w:space="0" w:color="auto"/>
            <w:left w:val="none" w:sz="0" w:space="0" w:color="auto"/>
            <w:bottom w:val="none" w:sz="0" w:space="0" w:color="auto"/>
            <w:right w:val="none" w:sz="0" w:space="0" w:color="auto"/>
          </w:divBdr>
        </w:div>
      </w:divsChild>
    </w:div>
    <w:div w:id="187371394">
      <w:bodyDiv w:val="1"/>
      <w:marLeft w:val="0"/>
      <w:marRight w:val="0"/>
      <w:marTop w:val="0"/>
      <w:marBottom w:val="0"/>
      <w:divBdr>
        <w:top w:val="none" w:sz="0" w:space="0" w:color="auto"/>
        <w:left w:val="none" w:sz="0" w:space="0" w:color="auto"/>
        <w:bottom w:val="none" w:sz="0" w:space="0" w:color="auto"/>
        <w:right w:val="none" w:sz="0" w:space="0" w:color="auto"/>
      </w:divBdr>
    </w:div>
    <w:div w:id="189951674">
      <w:bodyDiv w:val="1"/>
      <w:marLeft w:val="0"/>
      <w:marRight w:val="0"/>
      <w:marTop w:val="0"/>
      <w:marBottom w:val="0"/>
      <w:divBdr>
        <w:top w:val="none" w:sz="0" w:space="0" w:color="auto"/>
        <w:left w:val="none" w:sz="0" w:space="0" w:color="auto"/>
        <w:bottom w:val="none" w:sz="0" w:space="0" w:color="auto"/>
        <w:right w:val="none" w:sz="0" w:space="0" w:color="auto"/>
      </w:divBdr>
      <w:divsChild>
        <w:div w:id="448552737">
          <w:marLeft w:val="1166"/>
          <w:marRight w:val="0"/>
          <w:marTop w:val="115"/>
          <w:marBottom w:val="0"/>
          <w:divBdr>
            <w:top w:val="none" w:sz="0" w:space="0" w:color="auto"/>
            <w:left w:val="none" w:sz="0" w:space="0" w:color="auto"/>
            <w:bottom w:val="none" w:sz="0" w:space="0" w:color="auto"/>
            <w:right w:val="none" w:sz="0" w:space="0" w:color="auto"/>
          </w:divBdr>
        </w:div>
        <w:div w:id="603733955">
          <w:marLeft w:val="1166"/>
          <w:marRight w:val="0"/>
          <w:marTop w:val="115"/>
          <w:marBottom w:val="0"/>
          <w:divBdr>
            <w:top w:val="none" w:sz="0" w:space="0" w:color="auto"/>
            <w:left w:val="none" w:sz="0" w:space="0" w:color="auto"/>
            <w:bottom w:val="none" w:sz="0" w:space="0" w:color="auto"/>
            <w:right w:val="none" w:sz="0" w:space="0" w:color="auto"/>
          </w:divBdr>
        </w:div>
        <w:div w:id="665595732">
          <w:marLeft w:val="1166"/>
          <w:marRight w:val="0"/>
          <w:marTop w:val="115"/>
          <w:marBottom w:val="0"/>
          <w:divBdr>
            <w:top w:val="none" w:sz="0" w:space="0" w:color="auto"/>
            <w:left w:val="none" w:sz="0" w:space="0" w:color="auto"/>
            <w:bottom w:val="none" w:sz="0" w:space="0" w:color="auto"/>
            <w:right w:val="none" w:sz="0" w:space="0" w:color="auto"/>
          </w:divBdr>
        </w:div>
        <w:div w:id="827131955">
          <w:marLeft w:val="1166"/>
          <w:marRight w:val="0"/>
          <w:marTop w:val="115"/>
          <w:marBottom w:val="0"/>
          <w:divBdr>
            <w:top w:val="none" w:sz="0" w:space="0" w:color="auto"/>
            <w:left w:val="none" w:sz="0" w:space="0" w:color="auto"/>
            <w:bottom w:val="none" w:sz="0" w:space="0" w:color="auto"/>
            <w:right w:val="none" w:sz="0" w:space="0" w:color="auto"/>
          </w:divBdr>
        </w:div>
        <w:div w:id="1060862183">
          <w:marLeft w:val="1166"/>
          <w:marRight w:val="0"/>
          <w:marTop w:val="115"/>
          <w:marBottom w:val="0"/>
          <w:divBdr>
            <w:top w:val="none" w:sz="0" w:space="0" w:color="auto"/>
            <w:left w:val="none" w:sz="0" w:space="0" w:color="auto"/>
            <w:bottom w:val="none" w:sz="0" w:space="0" w:color="auto"/>
            <w:right w:val="none" w:sz="0" w:space="0" w:color="auto"/>
          </w:divBdr>
        </w:div>
      </w:divsChild>
    </w:div>
    <w:div w:id="205064952">
      <w:bodyDiv w:val="1"/>
      <w:marLeft w:val="0"/>
      <w:marRight w:val="0"/>
      <w:marTop w:val="0"/>
      <w:marBottom w:val="0"/>
      <w:divBdr>
        <w:top w:val="none" w:sz="0" w:space="0" w:color="auto"/>
        <w:left w:val="none" w:sz="0" w:space="0" w:color="auto"/>
        <w:bottom w:val="none" w:sz="0" w:space="0" w:color="auto"/>
        <w:right w:val="none" w:sz="0" w:space="0" w:color="auto"/>
      </w:divBdr>
    </w:div>
    <w:div w:id="220481062">
      <w:bodyDiv w:val="1"/>
      <w:marLeft w:val="0"/>
      <w:marRight w:val="0"/>
      <w:marTop w:val="0"/>
      <w:marBottom w:val="0"/>
      <w:divBdr>
        <w:top w:val="none" w:sz="0" w:space="0" w:color="auto"/>
        <w:left w:val="none" w:sz="0" w:space="0" w:color="auto"/>
        <w:bottom w:val="none" w:sz="0" w:space="0" w:color="auto"/>
        <w:right w:val="none" w:sz="0" w:space="0" w:color="auto"/>
      </w:divBdr>
    </w:div>
    <w:div w:id="252669825">
      <w:bodyDiv w:val="1"/>
      <w:marLeft w:val="0"/>
      <w:marRight w:val="0"/>
      <w:marTop w:val="0"/>
      <w:marBottom w:val="0"/>
      <w:divBdr>
        <w:top w:val="none" w:sz="0" w:space="0" w:color="auto"/>
        <w:left w:val="none" w:sz="0" w:space="0" w:color="auto"/>
        <w:bottom w:val="none" w:sz="0" w:space="0" w:color="auto"/>
        <w:right w:val="none" w:sz="0" w:space="0" w:color="auto"/>
      </w:divBdr>
    </w:div>
    <w:div w:id="269515440">
      <w:bodyDiv w:val="1"/>
      <w:marLeft w:val="0"/>
      <w:marRight w:val="0"/>
      <w:marTop w:val="0"/>
      <w:marBottom w:val="0"/>
      <w:divBdr>
        <w:top w:val="none" w:sz="0" w:space="0" w:color="auto"/>
        <w:left w:val="none" w:sz="0" w:space="0" w:color="auto"/>
        <w:bottom w:val="none" w:sz="0" w:space="0" w:color="auto"/>
        <w:right w:val="none" w:sz="0" w:space="0" w:color="auto"/>
      </w:divBdr>
    </w:div>
    <w:div w:id="270629483">
      <w:bodyDiv w:val="1"/>
      <w:marLeft w:val="0"/>
      <w:marRight w:val="0"/>
      <w:marTop w:val="0"/>
      <w:marBottom w:val="0"/>
      <w:divBdr>
        <w:top w:val="none" w:sz="0" w:space="0" w:color="auto"/>
        <w:left w:val="none" w:sz="0" w:space="0" w:color="auto"/>
        <w:bottom w:val="none" w:sz="0" w:space="0" w:color="auto"/>
        <w:right w:val="none" w:sz="0" w:space="0" w:color="auto"/>
      </w:divBdr>
    </w:div>
    <w:div w:id="277685601">
      <w:bodyDiv w:val="1"/>
      <w:marLeft w:val="0"/>
      <w:marRight w:val="0"/>
      <w:marTop w:val="0"/>
      <w:marBottom w:val="0"/>
      <w:divBdr>
        <w:top w:val="none" w:sz="0" w:space="0" w:color="auto"/>
        <w:left w:val="none" w:sz="0" w:space="0" w:color="auto"/>
        <w:bottom w:val="none" w:sz="0" w:space="0" w:color="auto"/>
        <w:right w:val="none" w:sz="0" w:space="0" w:color="auto"/>
      </w:divBdr>
      <w:divsChild>
        <w:div w:id="229922290">
          <w:marLeft w:val="547"/>
          <w:marRight w:val="0"/>
          <w:marTop w:val="96"/>
          <w:marBottom w:val="0"/>
          <w:divBdr>
            <w:top w:val="none" w:sz="0" w:space="0" w:color="auto"/>
            <w:left w:val="none" w:sz="0" w:space="0" w:color="auto"/>
            <w:bottom w:val="none" w:sz="0" w:space="0" w:color="auto"/>
            <w:right w:val="none" w:sz="0" w:space="0" w:color="auto"/>
          </w:divBdr>
        </w:div>
        <w:div w:id="1987662834">
          <w:marLeft w:val="1166"/>
          <w:marRight w:val="0"/>
          <w:marTop w:val="77"/>
          <w:marBottom w:val="0"/>
          <w:divBdr>
            <w:top w:val="none" w:sz="0" w:space="0" w:color="auto"/>
            <w:left w:val="none" w:sz="0" w:space="0" w:color="auto"/>
            <w:bottom w:val="none" w:sz="0" w:space="0" w:color="auto"/>
            <w:right w:val="none" w:sz="0" w:space="0" w:color="auto"/>
          </w:divBdr>
        </w:div>
      </w:divsChild>
    </w:div>
    <w:div w:id="303967368">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1516750">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395593899">
      <w:bodyDiv w:val="1"/>
      <w:marLeft w:val="0"/>
      <w:marRight w:val="0"/>
      <w:marTop w:val="0"/>
      <w:marBottom w:val="0"/>
      <w:divBdr>
        <w:top w:val="none" w:sz="0" w:space="0" w:color="auto"/>
        <w:left w:val="none" w:sz="0" w:space="0" w:color="auto"/>
        <w:bottom w:val="none" w:sz="0" w:space="0" w:color="auto"/>
        <w:right w:val="none" w:sz="0" w:space="0" w:color="auto"/>
      </w:divBdr>
    </w:div>
    <w:div w:id="399716973">
      <w:bodyDiv w:val="1"/>
      <w:marLeft w:val="0"/>
      <w:marRight w:val="0"/>
      <w:marTop w:val="0"/>
      <w:marBottom w:val="0"/>
      <w:divBdr>
        <w:top w:val="none" w:sz="0" w:space="0" w:color="auto"/>
        <w:left w:val="none" w:sz="0" w:space="0" w:color="auto"/>
        <w:bottom w:val="none" w:sz="0" w:space="0" w:color="auto"/>
        <w:right w:val="none" w:sz="0" w:space="0" w:color="auto"/>
      </w:divBdr>
      <w:divsChild>
        <w:div w:id="924648983">
          <w:marLeft w:val="1166"/>
          <w:marRight w:val="0"/>
          <w:marTop w:val="77"/>
          <w:marBottom w:val="0"/>
          <w:divBdr>
            <w:top w:val="none" w:sz="0" w:space="0" w:color="auto"/>
            <w:left w:val="none" w:sz="0" w:space="0" w:color="auto"/>
            <w:bottom w:val="none" w:sz="0" w:space="0" w:color="auto"/>
            <w:right w:val="none" w:sz="0" w:space="0" w:color="auto"/>
          </w:divBdr>
        </w:div>
      </w:divsChild>
    </w:div>
    <w:div w:id="401490982">
      <w:bodyDiv w:val="1"/>
      <w:marLeft w:val="0"/>
      <w:marRight w:val="0"/>
      <w:marTop w:val="0"/>
      <w:marBottom w:val="0"/>
      <w:divBdr>
        <w:top w:val="none" w:sz="0" w:space="0" w:color="auto"/>
        <w:left w:val="none" w:sz="0" w:space="0" w:color="auto"/>
        <w:bottom w:val="none" w:sz="0" w:space="0" w:color="auto"/>
        <w:right w:val="none" w:sz="0" w:space="0" w:color="auto"/>
      </w:divBdr>
    </w:div>
    <w:div w:id="404229809">
      <w:bodyDiv w:val="1"/>
      <w:marLeft w:val="0"/>
      <w:marRight w:val="0"/>
      <w:marTop w:val="0"/>
      <w:marBottom w:val="0"/>
      <w:divBdr>
        <w:top w:val="none" w:sz="0" w:space="0" w:color="auto"/>
        <w:left w:val="none" w:sz="0" w:space="0" w:color="auto"/>
        <w:bottom w:val="none" w:sz="0" w:space="0" w:color="auto"/>
        <w:right w:val="none" w:sz="0" w:space="0" w:color="auto"/>
      </w:divBdr>
    </w:div>
    <w:div w:id="417674500">
      <w:bodyDiv w:val="1"/>
      <w:marLeft w:val="0"/>
      <w:marRight w:val="0"/>
      <w:marTop w:val="0"/>
      <w:marBottom w:val="0"/>
      <w:divBdr>
        <w:top w:val="none" w:sz="0" w:space="0" w:color="auto"/>
        <w:left w:val="none" w:sz="0" w:space="0" w:color="auto"/>
        <w:bottom w:val="none" w:sz="0" w:space="0" w:color="auto"/>
        <w:right w:val="none" w:sz="0" w:space="0" w:color="auto"/>
      </w:divBdr>
    </w:div>
    <w:div w:id="435297776">
      <w:bodyDiv w:val="1"/>
      <w:marLeft w:val="0"/>
      <w:marRight w:val="0"/>
      <w:marTop w:val="0"/>
      <w:marBottom w:val="0"/>
      <w:divBdr>
        <w:top w:val="none" w:sz="0" w:space="0" w:color="auto"/>
        <w:left w:val="none" w:sz="0" w:space="0" w:color="auto"/>
        <w:bottom w:val="none" w:sz="0" w:space="0" w:color="auto"/>
        <w:right w:val="none" w:sz="0" w:space="0" w:color="auto"/>
      </w:divBdr>
      <w:divsChild>
        <w:div w:id="91316058">
          <w:marLeft w:val="1166"/>
          <w:marRight w:val="0"/>
          <w:marTop w:val="77"/>
          <w:marBottom w:val="0"/>
          <w:divBdr>
            <w:top w:val="none" w:sz="0" w:space="0" w:color="auto"/>
            <w:left w:val="none" w:sz="0" w:space="0" w:color="auto"/>
            <w:bottom w:val="none" w:sz="0" w:space="0" w:color="auto"/>
            <w:right w:val="none" w:sz="0" w:space="0" w:color="auto"/>
          </w:divBdr>
        </w:div>
        <w:div w:id="556741636">
          <w:marLeft w:val="1166"/>
          <w:marRight w:val="0"/>
          <w:marTop w:val="77"/>
          <w:marBottom w:val="0"/>
          <w:divBdr>
            <w:top w:val="none" w:sz="0" w:space="0" w:color="auto"/>
            <w:left w:val="none" w:sz="0" w:space="0" w:color="auto"/>
            <w:bottom w:val="none" w:sz="0" w:space="0" w:color="auto"/>
            <w:right w:val="none" w:sz="0" w:space="0" w:color="auto"/>
          </w:divBdr>
        </w:div>
        <w:div w:id="1888643967">
          <w:marLeft w:val="547"/>
          <w:marRight w:val="0"/>
          <w:marTop w:val="96"/>
          <w:marBottom w:val="0"/>
          <w:divBdr>
            <w:top w:val="none" w:sz="0" w:space="0" w:color="auto"/>
            <w:left w:val="none" w:sz="0" w:space="0" w:color="auto"/>
            <w:bottom w:val="none" w:sz="0" w:space="0" w:color="auto"/>
            <w:right w:val="none" w:sz="0" w:space="0" w:color="auto"/>
          </w:divBdr>
        </w:div>
      </w:divsChild>
    </w:div>
    <w:div w:id="484902309">
      <w:bodyDiv w:val="1"/>
      <w:marLeft w:val="0"/>
      <w:marRight w:val="0"/>
      <w:marTop w:val="0"/>
      <w:marBottom w:val="0"/>
      <w:divBdr>
        <w:top w:val="none" w:sz="0" w:space="0" w:color="auto"/>
        <w:left w:val="none" w:sz="0" w:space="0" w:color="auto"/>
        <w:bottom w:val="none" w:sz="0" w:space="0" w:color="auto"/>
        <w:right w:val="none" w:sz="0" w:space="0" w:color="auto"/>
      </w:divBdr>
      <w:divsChild>
        <w:div w:id="171578163">
          <w:marLeft w:val="1800"/>
          <w:marRight w:val="0"/>
          <w:marTop w:val="67"/>
          <w:marBottom w:val="0"/>
          <w:divBdr>
            <w:top w:val="none" w:sz="0" w:space="0" w:color="auto"/>
            <w:left w:val="none" w:sz="0" w:space="0" w:color="auto"/>
            <w:bottom w:val="none" w:sz="0" w:space="0" w:color="auto"/>
            <w:right w:val="none" w:sz="0" w:space="0" w:color="auto"/>
          </w:divBdr>
        </w:div>
        <w:div w:id="285476445">
          <w:marLeft w:val="547"/>
          <w:marRight w:val="0"/>
          <w:marTop w:val="86"/>
          <w:marBottom w:val="0"/>
          <w:divBdr>
            <w:top w:val="none" w:sz="0" w:space="0" w:color="auto"/>
            <w:left w:val="none" w:sz="0" w:space="0" w:color="auto"/>
            <w:bottom w:val="none" w:sz="0" w:space="0" w:color="auto"/>
            <w:right w:val="none" w:sz="0" w:space="0" w:color="auto"/>
          </w:divBdr>
        </w:div>
        <w:div w:id="771172203">
          <w:marLeft w:val="1166"/>
          <w:marRight w:val="0"/>
          <w:marTop w:val="77"/>
          <w:marBottom w:val="0"/>
          <w:divBdr>
            <w:top w:val="none" w:sz="0" w:space="0" w:color="auto"/>
            <w:left w:val="none" w:sz="0" w:space="0" w:color="auto"/>
            <w:bottom w:val="none" w:sz="0" w:space="0" w:color="auto"/>
            <w:right w:val="none" w:sz="0" w:space="0" w:color="auto"/>
          </w:divBdr>
        </w:div>
        <w:div w:id="996420915">
          <w:marLeft w:val="1166"/>
          <w:marRight w:val="0"/>
          <w:marTop w:val="77"/>
          <w:marBottom w:val="0"/>
          <w:divBdr>
            <w:top w:val="none" w:sz="0" w:space="0" w:color="auto"/>
            <w:left w:val="none" w:sz="0" w:space="0" w:color="auto"/>
            <w:bottom w:val="none" w:sz="0" w:space="0" w:color="auto"/>
            <w:right w:val="none" w:sz="0" w:space="0" w:color="auto"/>
          </w:divBdr>
        </w:div>
        <w:div w:id="1823152716">
          <w:marLeft w:val="547"/>
          <w:marRight w:val="0"/>
          <w:marTop w:val="86"/>
          <w:marBottom w:val="0"/>
          <w:divBdr>
            <w:top w:val="none" w:sz="0" w:space="0" w:color="auto"/>
            <w:left w:val="none" w:sz="0" w:space="0" w:color="auto"/>
            <w:bottom w:val="none" w:sz="0" w:space="0" w:color="auto"/>
            <w:right w:val="none" w:sz="0" w:space="0" w:color="auto"/>
          </w:divBdr>
        </w:div>
      </w:divsChild>
    </w:div>
    <w:div w:id="485976579">
      <w:bodyDiv w:val="1"/>
      <w:marLeft w:val="0"/>
      <w:marRight w:val="0"/>
      <w:marTop w:val="0"/>
      <w:marBottom w:val="0"/>
      <w:divBdr>
        <w:top w:val="none" w:sz="0" w:space="0" w:color="auto"/>
        <w:left w:val="none" w:sz="0" w:space="0" w:color="auto"/>
        <w:bottom w:val="none" w:sz="0" w:space="0" w:color="auto"/>
        <w:right w:val="none" w:sz="0" w:space="0" w:color="auto"/>
      </w:divBdr>
      <w:divsChild>
        <w:div w:id="48647792">
          <w:marLeft w:val="1166"/>
          <w:marRight w:val="0"/>
          <w:marTop w:val="77"/>
          <w:marBottom w:val="0"/>
          <w:divBdr>
            <w:top w:val="none" w:sz="0" w:space="0" w:color="auto"/>
            <w:left w:val="none" w:sz="0" w:space="0" w:color="auto"/>
            <w:bottom w:val="none" w:sz="0" w:space="0" w:color="auto"/>
            <w:right w:val="none" w:sz="0" w:space="0" w:color="auto"/>
          </w:divBdr>
        </w:div>
        <w:div w:id="1074011311">
          <w:marLeft w:val="1166"/>
          <w:marRight w:val="0"/>
          <w:marTop w:val="77"/>
          <w:marBottom w:val="0"/>
          <w:divBdr>
            <w:top w:val="none" w:sz="0" w:space="0" w:color="auto"/>
            <w:left w:val="none" w:sz="0" w:space="0" w:color="auto"/>
            <w:bottom w:val="none" w:sz="0" w:space="0" w:color="auto"/>
            <w:right w:val="none" w:sz="0" w:space="0" w:color="auto"/>
          </w:divBdr>
        </w:div>
        <w:div w:id="1130316837">
          <w:marLeft w:val="1166"/>
          <w:marRight w:val="0"/>
          <w:marTop w:val="77"/>
          <w:marBottom w:val="0"/>
          <w:divBdr>
            <w:top w:val="none" w:sz="0" w:space="0" w:color="auto"/>
            <w:left w:val="none" w:sz="0" w:space="0" w:color="auto"/>
            <w:bottom w:val="none" w:sz="0" w:space="0" w:color="auto"/>
            <w:right w:val="none" w:sz="0" w:space="0" w:color="auto"/>
          </w:divBdr>
        </w:div>
        <w:div w:id="1177230833">
          <w:marLeft w:val="1166"/>
          <w:marRight w:val="0"/>
          <w:marTop w:val="77"/>
          <w:marBottom w:val="0"/>
          <w:divBdr>
            <w:top w:val="none" w:sz="0" w:space="0" w:color="auto"/>
            <w:left w:val="none" w:sz="0" w:space="0" w:color="auto"/>
            <w:bottom w:val="none" w:sz="0" w:space="0" w:color="auto"/>
            <w:right w:val="none" w:sz="0" w:space="0" w:color="auto"/>
          </w:divBdr>
        </w:div>
        <w:div w:id="1793162036">
          <w:marLeft w:val="1166"/>
          <w:marRight w:val="0"/>
          <w:marTop w:val="77"/>
          <w:marBottom w:val="0"/>
          <w:divBdr>
            <w:top w:val="none" w:sz="0" w:space="0" w:color="auto"/>
            <w:left w:val="none" w:sz="0" w:space="0" w:color="auto"/>
            <w:bottom w:val="none" w:sz="0" w:space="0" w:color="auto"/>
            <w:right w:val="none" w:sz="0" w:space="0" w:color="auto"/>
          </w:divBdr>
        </w:div>
        <w:div w:id="2006587289">
          <w:marLeft w:val="547"/>
          <w:marRight w:val="0"/>
          <w:marTop w:val="96"/>
          <w:marBottom w:val="0"/>
          <w:divBdr>
            <w:top w:val="none" w:sz="0" w:space="0" w:color="auto"/>
            <w:left w:val="none" w:sz="0" w:space="0" w:color="auto"/>
            <w:bottom w:val="none" w:sz="0" w:space="0" w:color="auto"/>
            <w:right w:val="none" w:sz="0" w:space="0" w:color="auto"/>
          </w:divBdr>
        </w:div>
      </w:divsChild>
    </w:div>
    <w:div w:id="494346347">
      <w:bodyDiv w:val="1"/>
      <w:marLeft w:val="0"/>
      <w:marRight w:val="0"/>
      <w:marTop w:val="0"/>
      <w:marBottom w:val="0"/>
      <w:divBdr>
        <w:top w:val="none" w:sz="0" w:space="0" w:color="auto"/>
        <w:left w:val="none" w:sz="0" w:space="0" w:color="auto"/>
        <w:bottom w:val="none" w:sz="0" w:space="0" w:color="auto"/>
        <w:right w:val="none" w:sz="0" w:space="0" w:color="auto"/>
      </w:divBdr>
      <w:divsChild>
        <w:div w:id="340591133">
          <w:marLeft w:val="1166"/>
          <w:marRight w:val="0"/>
          <w:marTop w:val="86"/>
          <w:marBottom w:val="0"/>
          <w:divBdr>
            <w:top w:val="none" w:sz="0" w:space="0" w:color="auto"/>
            <w:left w:val="none" w:sz="0" w:space="0" w:color="auto"/>
            <w:bottom w:val="none" w:sz="0" w:space="0" w:color="auto"/>
            <w:right w:val="none" w:sz="0" w:space="0" w:color="auto"/>
          </w:divBdr>
        </w:div>
        <w:div w:id="1142893015">
          <w:marLeft w:val="547"/>
          <w:marRight w:val="0"/>
          <w:marTop w:val="96"/>
          <w:marBottom w:val="0"/>
          <w:divBdr>
            <w:top w:val="none" w:sz="0" w:space="0" w:color="auto"/>
            <w:left w:val="none" w:sz="0" w:space="0" w:color="auto"/>
            <w:bottom w:val="none" w:sz="0" w:space="0" w:color="auto"/>
            <w:right w:val="none" w:sz="0" w:space="0" w:color="auto"/>
          </w:divBdr>
        </w:div>
        <w:div w:id="1535920612">
          <w:marLeft w:val="547"/>
          <w:marRight w:val="0"/>
          <w:marTop w:val="96"/>
          <w:marBottom w:val="0"/>
          <w:divBdr>
            <w:top w:val="none" w:sz="0" w:space="0" w:color="auto"/>
            <w:left w:val="none" w:sz="0" w:space="0" w:color="auto"/>
            <w:bottom w:val="none" w:sz="0" w:space="0" w:color="auto"/>
            <w:right w:val="none" w:sz="0" w:space="0" w:color="auto"/>
          </w:divBdr>
        </w:div>
        <w:div w:id="1951623119">
          <w:marLeft w:val="1166"/>
          <w:marRight w:val="0"/>
          <w:marTop w:val="86"/>
          <w:marBottom w:val="0"/>
          <w:divBdr>
            <w:top w:val="none" w:sz="0" w:space="0" w:color="auto"/>
            <w:left w:val="none" w:sz="0" w:space="0" w:color="auto"/>
            <w:bottom w:val="none" w:sz="0" w:space="0" w:color="auto"/>
            <w:right w:val="none" w:sz="0" w:space="0" w:color="auto"/>
          </w:divBdr>
        </w:div>
      </w:divsChild>
    </w:div>
    <w:div w:id="50104924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46452517">
      <w:bodyDiv w:val="1"/>
      <w:marLeft w:val="0"/>
      <w:marRight w:val="0"/>
      <w:marTop w:val="0"/>
      <w:marBottom w:val="0"/>
      <w:divBdr>
        <w:top w:val="none" w:sz="0" w:space="0" w:color="auto"/>
        <w:left w:val="none" w:sz="0" w:space="0" w:color="auto"/>
        <w:bottom w:val="none" w:sz="0" w:space="0" w:color="auto"/>
        <w:right w:val="none" w:sz="0" w:space="0" w:color="auto"/>
      </w:divBdr>
      <w:divsChild>
        <w:div w:id="121272650">
          <w:marLeft w:val="1080"/>
          <w:marRight w:val="0"/>
          <w:marTop w:val="100"/>
          <w:marBottom w:val="0"/>
          <w:divBdr>
            <w:top w:val="none" w:sz="0" w:space="0" w:color="auto"/>
            <w:left w:val="none" w:sz="0" w:space="0" w:color="auto"/>
            <w:bottom w:val="none" w:sz="0" w:space="0" w:color="auto"/>
            <w:right w:val="none" w:sz="0" w:space="0" w:color="auto"/>
          </w:divBdr>
        </w:div>
        <w:div w:id="153686104">
          <w:marLeft w:val="360"/>
          <w:marRight w:val="0"/>
          <w:marTop w:val="200"/>
          <w:marBottom w:val="0"/>
          <w:divBdr>
            <w:top w:val="none" w:sz="0" w:space="0" w:color="auto"/>
            <w:left w:val="none" w:sz="0" w:space="0" w:color="auto"/>
            <w:bottom w:val="none" w:sz="0" w:space="0" w:color="auto"/>
            <w:right w:val="none" w:sz="0" w:space="0" w:color="auto"/>
          </w:divBdr>
        </w:div>
        <w:div w:id="332025942">
          <w:marLeft w:val="360"/>
          <w:marRight w:val="0"/>
          <w:marTop w:val="200"/>
          <w:marBottom w:val="0"/>
          <w:divBdr>
            <w:top w:val="none" w:sz="0" w:space="0" w:color="auto"/>
            <w:left w:val="none" w:sz="0" w:space="0" w:color="auto"/>
            <w:bottom w:val="none" w:sz="0" w:space="0" w:color="auto"/>
            <w:right w:val="none" w:sz="0" w:space="0" w:color="auto"/>
          </w:divBdr>
        </w:div>
        <w:div w:id="348410715">
          <w:marLeft w:val="1080"/>
          <w:marRight w:val="0"/>
          <w:marTop w:val="100"/>
          <w:marBottom w:val="0"/>
          <w:divBdr>
            <w:top w:val="none" w:sz="0" w:space="0" w:color="auto"/>
            <w:left w:val="none" w:sz="0" w:space="0" w:color="auto"/>
            <w:bottom w:val="none" w:sz="0" w:space="0" w:color="auto"/>
            <w:right w:val="none" w:sz="0" w:space="0" w:color="auto"/>
          </w:divBdr>
        </w:div>
        <w:div w:id="411439432">
          <w:marLeft w:val="1080"/>
          <w:marRight w:val="0"/>
          <w:marTop w:val="100"/>
          <w:marBottom w:val="0"/>
          <w:divBdr>
            <w:top w:val="none" w:sz="0" w:space="0" w:color="auto"/>
            <w:left w:val="none" w:sz="0" w:space="0" w:color="auto"/>
            <w:bottom w:val="none" w:sz="0" w:space="0" w:color="auto"/>
            <w:right w:val="none" w:sz="0" w:space="0" w:color="auto"/>
          </w:divBdr>
        </w:div>
        <w:div w:id="543448970">
          <w:marLeft w:val="1080"/>
          <w:marRight w:val="0"/>
          <w:marTop w:val="100"/>
          <w:marBottom w:val="0"/>
          <w:divBdr>
            <w:top w:val="none" w:sz="0" w:space="0" w:color="auto"/>
            <w:left w:val="none" w:sz="0" w:space="0" w:color="auto"/>
            <w:bottom w:val="none" w:sz="0" w:space="0" w:color="auto"/>
            <w:right w:val="none" w:sz="0" w:space="0" w:color="auto"/>
          </w:divBdr>
        </w:div>
        <w:div w:id="642081573">
          <w:marLeft w:val="360"/>
          <w:marRight w:val="0"/>
          <w:marTop w:val="200"/>
          <w:marBottom w:val="0"/>
          <w:divBdr>
            <w:top w:val="none" w:sz="0" w:space="0" w:color="auto"/>
            <w:left w:val="none" w:sz="0" w:space="0" w:color="auto"/>
            <w:bottom w:val="none" w:sz="0" w:space="0" w:color="auto"/>
            <w:right w:val="none" w:sz="0" w:space="0" w:color="auto"/>
          </w:divBdr>
        </w:div>
        <w:div w:id="816998898">
          <w:marLeft w:val="1080"/>
          <w:marRight w:val="0"/>
          <w:marTop w:val="100"/>
          <w:marBottom w:val="0"/>
          <w:divBdr>
            <w:top w:val="none" w:sz="0" w:space="0" w:color="auto"/>
            <w:left w:val="none" w:sz="0" w:space="0" w:color="auto"/>
            <w:bottom w:val="none" w:sz="0" w:space="0" w:color="auto"/>
            <w:right w:val="none" w:sz="0" w:space="0" w:color="auto"/>
          </w:divBdr>
        </w:div>
        <w:div w:id="1203664286">
          <w:marLeft w:val="1080"/>
          <w:marRight w:val="0"/>
          <w:marTop w:val="100"/>
          <w:marBottom w:val="0"/>
          <w:divBdr>
            <w:top w:val="none" w:sz="0" w:space="0" w:color="auto"/>
            <w:left w:val="none" w:sz="0" w:space="0" w:color="auto"/>
            <w:bottom w:val="none" w:sz="0" w:space="0" w:color="auto"/>
            <w:right w:val="none" w:sz="0" w:space="0" w:color="auto"/>
          </w:divBdr>
        </w:div>
        <w:div w:id="1250043582">
          <w:marLeft w:val="360"/>
          <w:marRight w:val="0"/>
          <w:marTop w:val="200"/>
          <w:marBottom w:val="0"/>
          <w:divBdr>
            <w:top w:val="none" w:sz="0" w:space="0" w:color="auto"/>
            <w:left w:val="none" w:sz="0" w:space="0" w:color="auto"/>
            <w:bottom w:val="none" w:sz="0" w:space="0" w:color="auto"/>
            <w:right w:val="none" w:sz="0" w:space="0" w:color="auto"/>
          </w:divBdr>
        </w:div>
        <w:div w:id="2012097951">
          <w:marLeft w:val="1080"/>
          <w:marRight w:val="0"/>
          <w:marTop w:val="100"/>
          <w:marBottom w:val="0"/>
          <w:divBdr>
            <w:top w:val="none" w:sz="0" w:space="0" w:color="auto"/>
            <w:left w:val="none" w:sz="0" w:space="0" w:color="auto"/>
            <w:bottom w:val="none" w:sz="0" w:space="0" w:color="auto"/>
            <w:right w:val="none" w:sz="0" w:space="0" w:color="auto"/>
          </w:divBdr>
        </w:div>
      </w:divsChild>
    </w:div>
    <w:div w:id="558856941">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1671768">
      <w:bodyDiv w:val="1"/>
      <w:marLeft w:val="0"/>
      <w:marRight w:val="0"/>
      <w:marTop w:val="0"/>
      <w:marBottom w:val="0"/>
      <w:divBdr>
        <w:top w:val="none" w:sz="0" w:space="0" w:color="auto"/>
        <w:left w:val="none" w:sz="0" w:space="0" w:color="auto"/>
        <w:bottom w:val="none" w:sz="0" w:space="0" w:color="auto"/>
        <w:right w:val="none" w:sz="0" w:space="0" w:color="auto"/>
      </w:divBdr>
      <w:divsChild>
        <w:div w:id="71633158">
          <w:marLeft w:val="1080"/>
          <w:marRight w:val="0"/>
          <w:marTop w:val="100"/>
          <w:marBottom w:val="0"/>
          <w:divBdr>
            <w:top w:val="none" w:sz="0" w:space="0" w:color="auto"/>
            <w:left w:val="none" w:sz="0" w:space="0" w:color="auto"/>
            <w:bottom w:val="none" w:sz="0" w:space="0" w:color="auto"/>
            <w:right w:val="none" w:sz="0" w:space="0" w:color="auto"/>
          </w:divBdr>
        </w:div>
        <w:div w:id="87389089">
          <w:marLeft w:val="360"/>
          <w:marRight w:val="0"/>
          <w:marTop w:val="200"/>
          <w:marBottom w:val="0"/>
          <w:divBdr>
            <w:top w:val="none" w:sz="0" w:space="0" w:color="auto"/>
            <w:left w:val="none" w:sz="0" w:space="0" w:color="auto"/>
            <w:bottom w:val="none" w:sz="0" w:space="0" w:color="auto"/>
            <w:right w:val="none" w:sz="0" w:space="0" w:color="auto"/>
          </w:divBdr>
        </w:div>
        <w:div w:id="176626944">
          <w:marLeft w:val="360"/>
          <w:marRight w:val="0"/>
          <w:marTop w:val="200"/>
          <w:marBottom w:val="0"/>
          <w:divBdr>
            <w:top w:val="none" w:sz="0" w:space="0" w:color="auto"/>
            <w:left w:val="none" w:sz="0" w:space="0" w:color="auto"/>
            <w:bottom w:val="none" w:sz="0" w:space="0" w:color="auto"/>
            <w:right w:val="none" w:sz="0" w:space="0" w:color="auto"/>
          </w:divBdr>
        </w:div>
        <w:div w:id="427851410">
          <w:marLeft w:val="360"/>
          <w:marRight w:val="0"/>
          <w:marTop w:val="200"/>
          <w:marBottom w:val="0"/>
          <w:divBdr>
            <w:top w:val="none" w:sz="0" w:space="0" w:color="auto"/>
            <w:left w:val="none" w:sz="0" w:space="0" w:color="auto"/>
            <w:bottom w:val="none" w:sz="0" w:space="0" w:color="auto"/>
            <w:right w:val="none" w:sz="0" w:space="0" w:color="auto"/>
          </w:divBdr>
        </w:div>
        <w:div w:id="868449807">
          <w:marLeft w:val="360"/>
          <w:marRight w:val="0"/>
          <w:marTop w:val="200"/>
          <w:marBottom w:val="0"/>
          <w:divBdr>
            <w:top w:val="none" w:sz="0" w:space="0" w:color="auto"/>
            <w:left w:val="none" w:sz="0" w:space="0" w:color="auto"/>
            <w:bottom w:val="none" w:sz="0" w:space="0" w:color="auto"/>
            <w:right w:val="none" w:sz="0" w:space="0" w:color="auto"/>
          </w:divBdr>
        </w:div>
        <w:div w:id="904605670">
          <w:marLeft w:val="1800"/>
          <w:marRight w:val="0"/>
          <w:marTop w:val="100"/>
          <w:marBottom w:val="0"/>
          <w:divBdr>
            <w:top w:val="none" w:sz="0" w:space="0" w:color="auto"/>
            <w:left w:val="none" w:sz="0" w:space="0" w:color="auto"/>
            <w:bottom w:val="none" w:sz="0" w:space="0" w:color="auto"/>
            <w:right w:val="none" w:sz="0" w:space="0" w:color="auto"/>
          </w:divBdr>
        </w:div>
        <w:div w:id="998386389">
          <w:marLeft w:val="1800"/>
          <w:marRight w:val="0"/>
          <w:marTop w:val="100"/>
          <w:marBottom w:val="0"/>
          <w:divBdr>
            <w:top w:val="none" w:sz="0" w:space="0" w:color="auto"/>
            <w:left w:val="none" w:sz="0" w:space="0" w:color="auto"/>
            <w:bottom w:val="none" w:sz="0" w:space="0" w:color="auto"/>
            <w:right w:val="none" w:sz="0" w:space="0" w:color="auto"/>
          </w:divBdr>
        </w:div>
        <w:div w:id="1294602809">
          <w:marLeft w:val="1800"/>
          <w:marRight w:val="0"/>
          <w:marTop w:val="100"/>
          <w:marBottom w:val="0"/>
          <w:divBdr>
            <w:top w:val="none" w:sz="0" w:space="0" w:color="auto"/>
            <w:left w:val="none" w:sz="0" w:space="0" w:color="auto"/>
            <w:bottom w:val="none" w:sz="0" w:space="0" w:color="auto"/>
            <w:right w:val="none" w:sz="0" w:space="0" w:color="auto"/>
          </w:divBdr>
        </w:div>
        <w:div w:id="1504126895">
          <w:marLeft w:val="1800"/>
          <w:marRight w:val="0"/>
          <w:marTop w:val="100"/>
          <w:marBottom w:val="0"/>
          <w:divBdr>
            <w:top w:val="none" w:sz="0" w:space="0" w:color="auto"/>
            <w:left w:val="none" w:sz="0" w:space="0" w:color="auto"/>
            <w:bottom w:val="none" w:sz="0" w:space="0" w:color="auto"/>
            <w:right w:val="none" w:sz="0" w:space="0" w:color="auto"/>
          </w:divBdr>
        </w:div>
        <w:div w:id="1628465977">
          <w:marLeft w:val="360"/>
          <w:marRight w:val="0"/>
          <w:marTop w:val="200"/>
          <w:marBottom w:val="0"/>
          <w:divBdr>
            <w:top w:val="none" w:sz="0" w:space="0" w:color="auto"/>
            <w:left w:val="none" w:sz="0" w:space="0" w:color="auto"/>
            <w:bottom w:val="none" w:sz="0" w:space="0" w:color="auto"/>
            <w:right w:val="none" w:sz="0" w:space="0" w:color="auto"/>
          </w:divBdr>
        </w:div>
        <w:div w:id="1934119150">
          <w:marLeft w:val="1800"/>
          <w:marRight w:val="0"/>
          <w:marTop w:val="100"/>
          <w:marBottom w:val="0"/>
          <w:divBdr>
            <w:top w:val="none" w:sz="0" w:space="0" w:color="auto"/>
            <w:left w:val="none" w:sz="0" w:space="0" w:color="auto"/>
            <w:bottom w:val="none" w:sz="0" w:space="0" w:color="auto"/>
            <w:right w:val="none" w:sz="0" w:space="0" w:color="auto"/>
          </w:divBdr>
        </w:div>
      </w:divsChild>
    </w:div>
    <w:div w:id="608897782">
      <w:bodyDiv w:val="1"/>
      <w:marLeft w:val="0"/>
      <w:marRight w:val="0"/>
      <w:marTop w:val="0"/>
      <w:marBottom w:val="0"/>
      <w:divBdr>
        <w:top w:val="none" w:sz="0" w:space="0" w:color="auto"/>
        <w:left w:val="none" w:sz="0" w:space="0" w:color="auto"/>
        <w:bottom w:val="none" w:sz="0" w:space="0" w:color="auto"/>
        <w:right w:val="none" w:sz="0" w:space="0" w:color="auto"/>
      </w:divBdr>
    </w:div>
    <w:div w:id="621619075">
      <w:bodyDiv w:val="1"/>
      <w:marLeft w:val="0"/>
      <w:marRight w:val="0"/>
      <w:marTop w:val="0"/>
      <w:marBottom w:val="0"/>
      <w:divBdr>
        <w:top w:val="none" w:sz="0" w:space="0" w:color="auto"/>
        <w:left w:val="none" w:sz="0" w:space="0" w:color="auto"/>
        <w:bottom w:val="none" w:sz="0" w:space="0" w:color="auto"/>
        <w:right w:val="none" w:sz="0" w:space="0" w:color="auto"/>
      </w:divBdr>
      <w:divsChild>
        <w:div w:id="769735495">
          <w:marLeft w:val="1166"/>
          <w:marRight w:val="0"/>
          <w:marTop w:val="77"/>
          <w:marBottom w:val="0"/>
          <w:divBdr>
            <w:top w:val="none" w:sz="0" w:space="0" w:color="auto"/>
            <w:left w:val="none" w:sz="0" w:space="0" w:color="auto"/>
            <w:bottom w:val="none" w:sz="0" w:space="0" w:color="auto"/>
            <w:right w:val="none" w:sz="0" w:space="0" w:color="auto"/>
          </w:divBdr>
        </w:div>
        <w:div w:id="910967155">
          <w:marLeft w:val="547"/>
          <w:marRight w:val="0"/>
          <w:marTop w:val="96"/>
          <w:marBottom w:val="0"/>
          <w:divBdr>
            <w:top w:val="none" w:sz="0" w:space="0" w:color="auto"/>
            <w:left w:val="none" w:sz="0" w:space="0" w:color="auto"/>
            <w:bottom w:val="none" w:sz="0" w:space="0" w:color="auto"/>
            <w:right w:val="none" w:sz="0" w:space="0" w:color="auto"/>
          </w:divBdr>
        </w:div>
        <w:div w:id="2060474095">
          <w:marLeft w:val="1166"/>
          <w:marRight w:val="0"/>
          <w:marTop w:val="77"/>
          <w:marBottom w:val="0"/>
          <w:divBdr>
            <w:top w:val="none" w:sz="0" w:space="0" w:color="auto"/>
            <w:left w:val="none" w:sz="0" w:space="0" w:color="auto"/>
            <w:bottom w:val="none" w:sz="0" w:space="0" w:color="auto"/>
            <w:right w:val="none" w:sz="0" w:space="0" w:color="auto"/>
          </w:divBdr>
        </w:div>
      </w:divsChild>
    </w:div>
    <w:div w:id="630213793">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646512996">
      <w:bodyDiv w:val="1"/>
      <w:marLeft w:val="0"/>
      <w:marRight w:val="0"/>
      <w:marTop w:val="0"/>
      <w:marBottom w:val="0"/>
      <w:divBdr>
        <w:top w:val="none" w:sz="0" w:space="0" w:color="auto"/>
        <w:left w:val="none" w:sz="0" w:space="0" w:color="auto"/>
        <w:bottom w:val="none" w:sz="0" w:space="0" w:color="auto"/>
        <w:right w:val="none" w:sz="0" w:space="0" w:color="auto"/>
      </w:divBdr>
      <w:divsChild>
        <w:div w:id="294458291">
          <w:marLeft w:val="547"/>
          <w:marRight w:val="0"/>
          <w:marTop w:val="86"/>
          <w:marBottom w:val="0"/>
          <w:divBdr>
            <w:top w:val="none" w:sz="0" w:space="0" w:color="auto"/>
            <w:left w:val="none" w:sz="0" w:space="0" w:color="auto"/>
            <w:bottom w:val="none" w:sz="0" w:space="0" w:color="auto"/>
            <w:right w:val="none" w:sz="0" w:space="0" w:color="auto"/>
          </w:divBdr>
        </w:div>
        <w:div w:id="401369486">
          <w:marLeft w:val="547"/>
          <w:marRight w:val="0"/>
          <w:marTop w:val="86"/>
          <w:marBottom w:val="0"/>
          <w:divBdr>
            <w:top w:val="none" w:sz="0" w:space="0" w:color="auto"/>
            <w:left w:val="none" w:sz="0" w:space="0" w:color="auto"/>
            <w:bottom w:val="none" w:sz="0" w:space="0" w:color="auto"/>
            <w:right w:val="none" w:sz="0" w:space="0" w:color="auto"/>
          </w:divBdr>
        </w:div>
      </w:divsChild>
    </w:div>
    <w:div w:id="724110081">
      <w:bodyDiv w:val="1"/>
      <w:marLeft w:val="0"/>
      <w:marRight w:val="0"/>
      <w:marTop w:val="0"/>
      <w:marBottom w:val="0"/>
      <w:divBdr>
        <w:top w:val="none" w:sz="0" w:space="0" w:color="auto"/>
        <w:left w:val="none" w:sz="0" w:space="0" w:color="auto"/>
        <w:bottom w:val="none" w:sz="0" w:space="0" w:color="auto"/>
        <w:right w:val="none" w:sz="0" w:space="0" w:color="auto"/>
      </w:divBdr>
      <w:divsChild>
        <w:div w:id="1247350411">
          <w:marLeft w:val="547"/>
          <w:marRight w:val="0"/>
          <w:marTop w:val="115"/>
          <w:marBottom w:val="0"/>
          <w:divBdr>
            <w:top w:val="none" w:sz="0" w:space="0" w:color="auto"/>
            <w:left w:val="none" w:sz="0" w:space="0" w:color="auto"/>
            <w:bottom w:val="none" w:sz="0" w:space="0" w:color="auto"/>
            <w:right w:val="none" w:sz="0" w:space="0" w:color="auto"/>
          </w:divBdr>
        </w:div>
        <w:div w:id="1293560659">
          <w:marLeft w:val="547"/>
          <w:marRight w:val="0"/>
          <w:marTop w:val="115"/>
          <w:marBottom w:val="0"/>
          <w:divBdr>
            <w:top w:val="none" w:sz="0" w:space="0" w:color="auto"/>
            <w:left w:val="none" w:sz="0" w:space="0" w:color="auto"/>
            <w:bottom w:val="none" w:sz="0" w:space="0" w:color="auto"/>
            <w:right w:val="none" w:sz="0" w:space="0" w:color="auto"/>
          </w:divBdr>
        </w:div>
        <w:div w:id="1729299649">
          <w:marLeft w:val="1166"/>
          <w:marRight w:val="0"/>
          <w:marTop w:val="96"/>
          <w:marBottom w:val="0"/>
          <w:divBdr>
            <w:top w:val="none" w:sz="0" w:space="0" w:color="auto"/>
            <w:left w:val="none" w:sz="0" w:space="0" w:color="auto"/>
            <w:bottom w:val="none" w:sz="0" w:space="0" w:color="auto"/>
            <w:right w:val="none" w:sz="0" w:space="0" w:color="auto"/>
          </w:divBdr>
        </w:div>
        <w:div w:id="1965496188">
          <w:marLeft w:val="1166"/>
          <w:marRight w:val="0"/>
          <w:marTop w:val="96"/>
          <w:marBottom w:val="0"/>
          <w:divBdr>
            <w:top w:val="none" w:sz="0" w:space="0" w:color="auto"/>
            <w:left w:val="none" w:sz="0" w:space="0" w:color="auto"/>
            <w:bottom w:val="none" w:sz="0" w:space="0" w:color="auto"/>
            <w:right w:val="none" w:sz="0" w:space="0" w:color="auto"/>
          </w:divBdr>
        </w:div>
      </w:divsChild>
    </w:div>
    <w:div w:id="740837092">
      <w:bodyDiv w:val="1"/>
      <w:marLeft w:val="0"/>
      <w:marRight w:val="0"/>
      <w:marTop w:val="0"/>
      <w:marBottom w:val="0"/>
      <w:divBdr>
        <w:top w:val="none" w:sz="0" w:space="0" w:color="auto"/>
        <w:left w:val="none" w:sz="0" w:space="0" w:color="auto"/>
        <w:bottom w:val="none" w:sz="0" w:space="0" w:color="auto"/>
        <w:right w:val="none" w:sz="0" w:space="0" w:color="auto"/>
      </w:divBdr>
      <w:divsChild>
        <w:div w:id="89396550">
          <w:marLeft w:val="1166"/>
          <w:marRight w:val="0"/>
          <w:marTop w:val="77"/>
          <w:marBottom w:val="0"/>
          <w:divBdr>
            <w:top w:val="none" w:sz="0" w:space="0" w:color="auto"/>
            <w:left w:val="none" w:sz="0" w:space="0" w:color="auto"/>
            <w:bottom w:val="none" w:sz="0" w:space="0" w:color="auto"/>
            <w:right w:val="none" w:sz="0" w:space="0" w:color="auto"/>
          </w:divBdr>
        </w:div>
        <w:div w:id="418602339">
          <w:marLeft w:val="547"/>
          <w:marRight w:val="0"/>
          <w:marTop w:val="86"/>
          <w:marBottom w:val="0"/>
          <w:divBdr>
            <w:top w:val="none" w:sz="0" w:space="0" w:color="auto"/>
            <w:left w:val="none" w:sz="0" w:space="0" w:color="auto"/>
            <w:bottom w:val="none" w:sz="0" w:space="0" w:color="auto"/>
            <w:right w:val="none" w:sz="0" w:space="0" w:color="auto"/>
          </w:divBdr>
        </w:div>
        <w:div w:id="1536190519">
          <w:marLeft w:val="547"/>
          <w:marRight w:val="0"/>
          <w:marTop w:val="86"/>
          <w:marBottom w:val="0"/>
          <w:divBdr>
            <w:top w:val="none" w:sz="0" w:space="0" w:color="auto"/>
            <w:left w:val="none" w:sz="0" w:space="0" w:color="auto"/>
            <w:bottom w:val="none" w:sz="0" w:space="0" w:color="auto"/>
            <w:right w:val="none" w:sz="0" w:space="0" w:color="auto"/>
          </w:divBdr>
        </w:div>
        <w:div w:id="1659841702">
          <w:marLeft w:val="1800"/>
          <w:marRight w:val="0"/>
          <w:marTop w:val="67"/>
          <w:marBottom w:val="0"/>
          <w:divBdr>
            <w:top w:val="none" w:sz="0" w:space="0" w:color="auto"/>
            <w:left w:val="none" w:sz="0" w:space="0" w:color="auto"/>
            <w:bottom w:val="none" w:sz="0" w:space="0" w:color="auto"/>
            <w:right w:val="none" w:sz="0" w:space="0" w:color="auto"/>
          </w:divBdr>
        </w:div>
        <w:div w:id="1805848141">
          <w:marLeft w:val="1166"/>
          <w:marRight w:val="0"/>
          <w:marTop w:val="77"/>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53824394">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762723743">
      <w:bodyDiv w:val="1"/>
      <w:marLeft w:val="0"/>
      <w:marRight w:val="0"/>
      <w:marTop w:val="0"/>
      <w:marBottom w:val="0"/>
      <w:divBdr>
        <w:top w:val="none" w:sz="0" w:space="0" w:color="auto"/>
        <w:left w:val="none" w:sz="0" w:space="0" w:color="auto"/>
        <w:bottom w:val="none" w:sz="0" w:space="0" w:color="auto"/>
        <w:right w:val="none" w:sz="0" w:space="0" w:color="auto"/>
      </w:divBdr>
      <w:divsChild>
        <w:div w:id="422721224">
          <w:marLeft w:val="547"/>
          <w:marRight w:val="0"/>
          <w:marTop w:val="86"/>
          <w:marBottom w:val="0"/>
          <w:divBdr>
            <w:top w:val="none" w:sz="0" w:space="0" w:color="auto"/>
            <w:left w:val="none" w:sz="0" w:space="0" w:color="auto"/>
            <w:bottom w:val="none" w:sz="0" w:space="0" w:color="auto"/>
            <w:right w:val="none" w:sz="0" w:space="0" w:color="auto"/>
          </w:divBdr>
        </w:div>
      </w:divsChild>
    </w:div>
    <w:div w:id="768938869">
      <w:bodyDiv w:val="1"/>
      <w:marLeft w:val="0"/>
      <w:marRight w:val="0"/>
      <w:marTop w:val="0"/>
      <w:marBottom w:val="0"/>
      <w:divBdr>
        <w:top w:val="none" w:sz="0" w:space="0" w:color="auto"/>
        <w:left w:val="none" w:sz="0" w:space="0" w:color="auto"/>
        <w:bottom w:val="none" w:sz="0" w:space="0" w:color="auto"/>
        <w:right w:val="none" w:sz="0" w:space="0" w:color="auto"/>
      </w:divBdr>
      <w:divsChild>
        <w:div w:id="599948475">
          <w:marLeft w:val="547"/>
          <w:marRight w:val="0"/>
          <w:marTop w:val="154"/>
          <w:marBottom w:val="0"/>
          <w:divBdr>
            <w:top w:val="none" w:sz="0" w:space="0" w:color="auto"/>
            <w:left w:val="none" w:sz="0" w:space="0" w:color="auto"/>
            <w:bottom w:val="none" w:sz="0" w:space="0" w:color="auto"/>
            <w:right w:val="none" w:sz="0" w:space="0" w:color="auto"/>
          </w:divBdr>
        </w:div>
        <w:div w:id="800198261">
          <w:marLeft w:val="547"/>
          <w:marRight w:val="0"/>
          <w:marTop w:val="154"/>
          <w:marBottom w:val="0"/>
          <w:divBdr>
            <w:top w:val="none" w:sz="0" w:space="0" w:color="auto"/>
            <w:left w:val="none" w:sz="0" w:space="0" w:color="auto"/>
            <w:bottom w:val="none" w:sz="0" w:space="0" w:color="auto"/>
            <w:right w:val="none" w:sz="0" w:space="0" w:color="auto"/>
          </w:divBdr>
        </w:div>
      </w:divsChild>
    </w:div>
    <w:div w:id="797379745">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850921183">
      <w:bodyDiv w:val="1"/>
      <w:marLeft w:val="0"/>
      <w:marRight w:val="0"/>
      <w:marTop w:val="0"/>
      <w:marBottom w:val="0"/>
      <w:divBdr>
        <w:top w:val="none" w:sz="0" w:space="0" w:color="auto"/>
        <w:left w:val="none" w:sz="0" w:space="0" w:color="auto"/>
        <w:bottom w:val="none" w:sz="0" w:space="0" w:color="auto"/>
        <w:right w:val="none" w:sz="0" w:space="0" w:color="auto"/>
      </w:divBdr>
      <w:divsChild>
        <w:div w:id="1323780886">
          <w:marLeft w:val="547"/>
          <w:marRight w:val="0"/>
          <w:marTop w:val="154"/>
          <w:marBottom w:val="0"/>
          <w:divBdr>
            <w:top w:val="none" w:sz="0" w:space="0" w:color="auto"/>
            <w:left w:val="none" w:sz="0" w:space="0" w:color="auto"/>
            <w:bottom w:val="none" w:sz="0" w:space="0" w:color="auto"/>
            <w:right w:val="none" w:sz="0" w:space="0" w:color="auto"/>
          </w:divBdr>
        </w:div>
        <w:div w:id="1570772925">
          <w:marLeft w:val="547"/>
          <w:marRight w:val="0"/>
          <w:marTop w:val="154"/>
          <w:marBottom w:val="0"/>
          <w:divBdr>
            <w:top w:val="none" w:sz="0" w:space="0" w:color="auto"/>
            <w:left w:val="none" w:sz="0" w:space="0" w:color="auto"/>
            <w:bottom w:val="none" w:sz="0" w:space="0" w:color="auto"/>
            <w:right w:val="none" w:sz="0" w:space="0" w:color="auto"/>
          </w:divBdr>
        </w:div>
      </w:divsChild>
    </w:div>
    <w:div w:id="878008985">
      <w:bodyDiv w:val="1"/>
      <w:marLeft w:val="0"/>
      <w:marRight w:val="0"/>
      <w:marTop w:val="0"/>
      <w:marBottom w:val="0"/>
      <w:divBdr>
        <w:top w:val="none" w:sz="0" w:space="0" w:color="auto"/>
        <w:left w:val="none" w:sz="0" w:space="0" w:color="auto"/>
        <w:bottom w:val="none" w:sz="0" w:space="0" w:color="auto"/>
        <w:right w:val="none" w:sz="0" w:space="0" w:color="auto"/>
      </w:divBdr>
    </w:div>
    <w:div w:id="904145311">
      <w:bodyDiv w:val="1"/>
      <w:marLeft w:val="0"/>
      <w:marRight w:val="0"/>
      <w:marTop w:val="0"/>
      <w:marBottom w:val="0"/>
      <w:divBdr>
        <w:top w:val="none" w:sz="0" w:space="0" w:color="auto"/>
        <w:left w:val="none" w:sz="0" w:space="0" w:color="auto"/>
        <w:bottom w:val="none" w:sz="0" w:space="0" w:color="auto"/>
        <w:right w:val="none" w:sz="0" w:space="0" w:color="auto"/>
      </w:divBdr>
    </w:div>
    <w:div w:id="906575365">
      <w:bodyDiv w:val="1"/>
      <w:marLeft w:val="0"/>
      <w:marRight w:val="0"/>
      <w:marTop w:val="0"/>
      <w:marBottom w:val="0"/>
      <w:divBdr>
        <w:top w:val="none" w:sz="0" w:space="0" w:color="auto"/>
        <w:left w:val="none" w:sz="0" w:space="0" w:color="auto"/>
        <w:bottom w:val="none" w:sz="0" w:space="0" w:color="auto"/>
        <w:right w:val="none" w:sz="0" w:space="0" w:color="auto"/>
      </w:divBdr>
    </w:div>
    <w:div w:id="930047892">
      <w:bodyDiv w:val="1"/>
      <w:marLeft w:val="0"/>
      <w:marRight w:val="0"/>
      <w:marTop w:val="0"/>
      <w:marBottom w:val="0"/>
      <w:divBdr>
        <w:top w:val="none" w:sz="0" w:space="0" w:color="auto"/>
        <w:left w:val="none" w:sz="0" w:space="0" w:color="auto"/>
        <w:bottom w:val="none" w:sz="0" w:space="0" w:color="auto"/>
        <w:right w:val="none" w:sz="0" w:space="0" w:color="auto"/>
      </w:divBdr>
      <w:divsChild>
        <w:div w:id="473835521">
          <w:marLeft w:val="547"/>
          <w:marRight w:val="0"/>
          <w:marTop w:val="86"/>
          <w:marBottom w:val="0"/>
          <w:divBdr>
            <w:top w:val="none" w:sz="0" w:space="0" w:color="auto"/>
            <w:left w:val="none" w:sz="0" w:space="0" w:color="auto"/>
            <w:bottom w:val="none" w:sz="0" w:space="0" w:color="auto"/>
            <w:right w:val="none" w:sz="0" w:space="0" w:color="auto"/>
          </w:divBdr>
        </w:div>
        <w:div w:id="2145735847">
          <w:marLeft w:val="547"/>
          <w:marRight w:val="0"/>
          <w:marTop w:val="86"/>
          <w:marBottom w:val="0"/>
          <w:divBdr>
            <w:top w:val="none" w:sz="0" w:space="0" w:color="auto"/>
            <w:left w:val="none" w:sz="0" w:space="0" w:color="auto"/>
            <w:bottom w:val="none" w:sz="0" w:space="0" w:color="auto"/>
            <w:right w:val="none" w:sz="0" w:space="0" w:color="auto"/>
          </w:divBdr>
        </w:div>
      </w:divsChild>
    </w:div>
    <w:div w:id="935669930">
      <w:bodyDiv w:val="1"/>
      <w:marLeft w:val="0"/>
      <w:marRight w:val="0"/>
      <w:marTop w:val="0"/>
      <w:marBottom w:val="0"/>
      <w:divBdr>
        <w:top w:val="none" w:sz="0" w:space="0" w:color="auto"/>
        <w:left w:val="none" w:sz="0" w:space="0" w:color="auto"/>
        <w:bottom w:val="none" w:sz="0" w:space="0" w:color="auto"/>
        <w:right w:val="none" w:sz="0" w:space="0" w:color="auto"/>
      </w:divBdr>
    </w:div>
    <w:div w:id="939796745">
      <w:bodyDiv w:val="1"/>
      <w:marLeft w:val="0"/>
      <w:marRight w:val="0"/>
      <w:marTop w:val="0"/>
      <w:marBottom w:val="0"/>
      <w:divBdr>
        <w:top w:val="none" w:sz="0" w:space="0" w:color="auto"/>
        <w:left w:val="none" w:sz="0" w:space="0" w:color="auto"/>
        <w:bottom w:val="none" w:sz="0" w:space="0" w:color="auto"/>
        <w:right w:val="none" w:sz="0" w:space="0" w:color="auto"/>
      </w:divBdr>
      <w:divsChild>
        <w:div w:id="152377606">
          <w:marLeft w:val="547"/>
          <w:marRight w:val="0"/>
          <w:marTop w:val="96"/>
          <w:marBottom w:val="0"/>
          <w:divBdr>
            <w:top w:val="none" w:sz="0" w:space="0" w:color="auto"/>
            <w:left w:val="none" w:sz="0" w:space="0" w:color="auto"/>
            <w:bottom w:val="none" w:sz="0" w:space="0" w:color="auto"/>
            <w:right w:val="none" w:sz="0" w:space="0" w:color="auto"/>
          </w:divBdr>
        </w:div>
        <w:div w:id="538905475">
          <w:marLeft w:val="547"/>
          <w:marRight w:val="0"/>
          <w:marTop w:val="86"/>
          <w:marBottom w:val="0"/>
          <w:divBdr>
            <w:top w:val="none" w:sz="0" w:space="0" w:color="auto"/>
            <w:left w:val="none" w:sz="0" w:space="0" w:color="auto"/>
            <w:bottom w:val="none" w:sz="0" w:space="0" w:color="auto"/>
            <w:right w:val="none" w:sz="0" w:space="0" w:color="auto"/>
          </w:divBdr>
        </w:div>
        <w:div w:id="971591026">
          <w:marLeft w:val="1800"/>
          <w:marRight w:val="0"/>
          <w:marTop w:val="58"/>
          <w:marBottom w:val="0"/>
          <w:divBdr>
            <w:top w:val="none" w:sz="0" w:space="0" w:color="auto"/>
            <w:left w:val="none" w:sz="0" w:space="0" w:color="auto"/>
            <w:bottom w:val="none" w:sz="0" w:space="0" w:color="auto"/>
            <w:right w:val="none" w:sz="0" w:space="0" w:color="auto"/>
          </w:divBdr>
        </w:div>
        <w:div w:id="1801262764">
          <w:marLeft w:val="1166"/>
          <w:marRight w:val="0"/>
          <w:marTop w:val="77"/>
          <w:marBottom w:val="0"/>
          <w:divBdr>
            <w:top w:val="none" w:sz="0" w:space="0" w:color="auto"/>
            <w:left w:val="none" w:sz="0" w:space="0" w:color="auto"/>
            <w:bottom w:val="none" w:sz="0" w:space="0" w:color="auto"/>
            <w:right w:val="none" w:sz="0" w:space="0" w:color="auto"/>
          </w:divBdr>
        </w:div>
        <w:div w:id="2001232826">
          <w:marLeft w:val="1800"/>
          <w:marRight w:val="0"/>
          <w:marTop w:val="58"/>
          <w:marBottom w:val="0"/>
          <w:divBdr>
            <w:top w:val="none" w:sz="0" w:space="0" w:color="auto"/>
            <w:left w:val="none" w:sz="0" w:space="0" w:color="auto"/>
            <w:bottom w:val="none" w:sz="0" w:space="0" w:color="auto"/>
            <w:right w:val="none" w:sz="0" w:space="0" w:color="auto"/>
          </w:divBdr>
        </w:div>
      </w:divsChild>
    </w:div>
    <w:div w:id="956568475">
      <w:bodyDiv w:val="1"/>
      <w:marLeft w:val="0"/>
      <w:marRight w:val="0"/>
      <w:marTop w:val="0"/>
      <w:marBottom w:val="0"/>
      <w:divBdr>
        <w:top w:val="none" w:sz="0" w:space="0" w:color="auto"/>
        <w:left w:val="none" w:sz="0" w:space="0" w:color="auto"/>
        <w:bottom w:val="none" w:sz="0" w:space="0" w:color="auto"/>
        <w:right w:val="none" w:sz="0" w:space="0" w:color="auto"/>
      </w:divBdr>
      <w:divsChild>
        <w:div w:id="36397965">
          <w:marLeft w:val="1080"/>
          <w:marRight w:val="0"/>
          <w:marTop w:val="100"/>
          <w:marBottom w:val="0"/>
          <w:divBdr>
            <w:top w:val="none" w:sz="0" w:space="0" w:color="auto"/>
            <w:left w:val="none" w:sz="0" w:space="0" w:color="auto"/>
            <w:bottom w:val="none" w:sz="0" w:space="0" w:color="auto"/>
            <w:right w:val="none" w:sz="0" w:space="0" w:color="auto"/>
          </w:divBdr>
        </w:div>
        <w:div w:id="143207615">
          <w:marLeft w:val="360"/>
          <w:marRight w:val="0"/>
          <w:marTop w:val="200"/>
          <w:marBottom w:val="0"/>
          <w:divBdr>
            <w:top w:val="none" w:sz="0" w:space="0" w:color="auto"/>
            <w:left w:val="none" w:sz="0" w:space="0" w:color="auto"/>
            <w:bottom w:val="none" w:sz="0" w:space="0" w:color="auto"/>
            <w:right w:val="none" w:sz="0" w:space="0" w:color="auto"/>
          </w:divBdr>
        </w:div>
        <w:div w:id="209851848">
          <w:marLeft w:val="1080"/>
          <w:marRight w:val="0"/>
          <w:marTop w:val="100"/>
          <w:marBottom w:val="0"/>
          <w:divBdr>
            <w:top w:val="none" w:sz="0" w:space="0" w:color="auto"/>
            <w:left w:val="none" w:sz="0" w:space="0" w:color="auto"/>
            <w:bottom w:val="none" w:sz="0" w:space="0" w:color="auto"/>
            <w:right w:val="none" w:sz="0" w:space="0" w:color="auto"/>
          </w:divBdr>
        </w:div>
        <w:div w:id="654144985">
          <w:marLeft w:val="360"/>
          <w:marRight w:val="0"/>
          <w:marTop w:val="200"/>
          <w:marBottom w:val="0"/>
          <w:divBdr>
            <w:top w:val="none" w:sz="0" w:space="0" w:color="auto"/>
            <w:left w:val="none" w:sz="0" w:space="0" w:color="auto"/>
            <w:bottom w:val="none" w:sz="0" w:space="0" w:color="auto"/>
            <w:right w:val="none" w:sz="0" w:space="0" w:color="auto"/>
          </w:divBdr>
        </w:div>
        <w:div w:id="707030878">
          <w:marLeft w:val="360"/>
          <w:marRight w:val="0"/>
          <w:marTop w:val="200"/>
          <w:marBottom w:val="0"/>
          <w:divBdr>
            <w:top w:val="none" w:sz="0" w:space="0" w:color="auto"/>
            <w:left w:val="none" w:sz="0" w:space="0" w:color="auto"/>
            <w:bottom w:val="none" w:sz="0" w:space="0" w:color="auto"/>
            <w:right w:val="none" w:sz="0" w:space="0" w:color="auto"/>
          </w:divBdr>
        </w:div>
        <w:div w:id="1319730453">
          <w:marLeft w:val="1080"/>
          <w:marRight w:val="0"/>
          <w:marTop w:val="100"/>
          <w:marBottom w:val="0"/>
          <w:divBdr>
            <w:top w:val="none" w:sz="0" w:space="0" w:color="auto"/>
            <w:left w:val="none" w:sz="0" w:space="0" w:color="auto"/>
            <w:bottom w:val="none" w:sz="0" w:space="0" w:color="auto"/>
            <w:right w:val="none" w:sz="0" w:space="0" w:color="auto"/>
          </w:divBdr>
        </w:div>
        <w:div w:id="1682274546">
          <w:marLeft w:val="360"/>
          <w:marRight w:val="0"/>
          <w:marTop w:val="200"/>
          <w:marBottom w:val="0"/>
          <w:divBdr>
            <w:top w:val="none" w:sz="0" w:space="0" w:color="auto"/>
            <w:left w:val="none" w:sz="0" w:space="0" w:color="auto"/>
            <w:bottom w:val="none" w:sz="0" w:space="0" w:color="auto"/>
            <w:right w:val="none" w:sz="0" w:space="0" w:color="auto"/>
          </w:divBdr>
        </w:div>
        <w:div w:id="1842548124">
          <w:marLeft w:val="1080"/>
          <w:marRight w:val="0"/>
          <w:marTop w:val="100"/>
          <w:marBottom w:val="0"/>
          <w:divBdr>
            <w:top w:val="none" w:sz="0" w:space="0" w:color="auto"/>
            <w:left w:val="none" w:sz="0" w:space="0" w:color="auto"/>
            <w:bottom w:val="none" w:sz="0" w:space="0" w:color="auto"/>
            <w:right w:val="none" w:sz="0" w:space="0" w:color="auto"/>
          </w:divBdr>
        </w:div>
        <w:div w:id="1952469750">
          <w:marLeft w:val="1080"/>
          <w:marRight w:val="0"/>
          <w:marTop w:val="100"/>
          <w:marBottom w:val="0"/>
          <w:divBdr>
            <w:top w:val="none" w:sz="0" w:space="0" w:color="auto"/>
            <w:left w:val="none" w:sz="0" w:space="0" w:color="auto"/>
            <w:bottom w:val="none" w:sz="0" w:space="0" w:color="auto"/>
            <w:right w:val="none" w:sz="0" w:space="0" w:color="auto"/>
          </w:divBdr>
        </w:div>
        <w:div w:id="1978759252">
          <w:marLeft w:val="1080"/>
          <w:marRight w:val="0"/>
          <w:marTop w:val="100"/>
          <w:marBottom w:val="0"/>
          <w:divBdr>
            <w:top w:val="none" w:sz="0" w:space="0" w:color="auto"/>
            <w:left w:val="none" w:sz="0" w:space="0" w:color="auto"/>
            <w:bottom w:val="none" w:sz="0" w:space="0" w:color="auto"/>
            <w:right w:val="none" w:sz="0" w:space="0" w:color="auto"/>
          </w:divBdr>
        </w:div>
      </w:divsChild>
    </w:div>
    <w:div w:id="956762540">
      <w:bodyDiv w:val="1"/>
      <w:marLeft w:val="0"/>
      <w:marRight w:val="0"/>
      <w:marTop w:val="0"/>
      <w:marBottom w:val="0"/>
      <w:divBdr>
        <w:top w:val="none" w:sz="0" w:space="0" w:color="auto"/>
        <w:left w:val="none" w:sz="0" w:space="0" w:color="auto"/>
        <w:bottom w:val="none" w:sz="0" w:space="0" w:color="auto"/>
        <w:right w:val="none" w:sz="0" w:space="0" w:color="auto"/>
      </w:divBdr>
      <w:divsChild>
        <w:div w:id="1385106858">
          <w:marLeft w:val="1166"/>
          <w:marRight w:val="0"/>
          <w:marTop w:val="77"/>
          <w:marBottom w:val="0"/>
          <w:divBdr>
            <w:top w:val="none" w:sz="0" w:space="0" w:color="auto"/>
            <w:left w:val="none" w:sz="0" w:space="0" w:color="auto"/>
            <w:bottom w:val="none" w:sz="0" w:space="0" w:color="auto"/>
            <w:right w:val="none" w:sz="0" w:space="0" w:color="auto"/>
          </w:divBdr>
        </w:div>
      </w:divsChild>
    </w:div>
    <w:div w:id="991181453">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41651064">
      <w:bodyDiv w:val="1"/>
      <w:marLeft w:val="0"/>
      <w:marRight w:val="0"/>
      <w:marTop w:val="0"/>
      <w:marBottom w:val="0"/>
      <w:divBdr>
        <w:top w:val="none" w:sz="0" w:space="0" w:color="auto"/>
        <w:left w:val="none" w:sz="0" w:space="0" w:color="auto"/>
        <w:bottom w:val="none" w:sz="0" w:space="0" w:color="auto"/>
        <w:right w:val="none" w:sz="0" w:space="0" w:color="auto"/>
      </w:divBdr>
    </w:div>
    <w:div w:id="1145584452">
      <w:bodyDiv w:val="1"/>
      <w:marLeft w:val="0"/>
      <w:marRight w:val="0"/>
      <w:marTop w:val="0"/>
      <w:marBottom w:val="0"/>
      <w:divBdr>
        <w:top w:val="none" w:sz="0" w:space="0" w:color="auto"/>
        <w:left w:val="none" w:sz="0" w:space="0" w:color="auto"/>
        <w:bottom w:val="none" w:sz="0" w:space="0" w:color="auto"/>
        <w:right w:val="none" w:sz="0" w:space="0" w:color="auto"/>
      </w:divBdr>
      <w:divsChild>
        <w:div w:id="329455459">
          <w:marLeft w:val="1166"/>
          <w:marRight w:val="0"/>
          <w:marTop w:val="40"/>
          <w:marBottom w:val="0"/>
          <w:divBdr>
            <w:top w:val="none" w:sz="0" w:space="0" w:color="auto"/>
            <w:left w:val="none" w:sz="0" w:space="0" w:color="auto"/>
            <w:bottom w:val="none" w:sz="0" w:space="0" w:color="auto"/>
            <w:right w:val="none" w:sz="0" w:space="0" w:color="auto"/>
          </w:divBdr>
        </w:div>
        <w:div w:id="591863309">
          <w:marLeft w:val="547"/>
          <w:marRight w:val="0"/>
          <w:marTop w:val="40"/>
          <w:marBottom w:val="0"/>
          <w:divBdr>
            <w:top w:val="none" w:sz="0" w:space="0" w:color="auto"/>
            <w:left w:val="none" w:sz="0" w:space="0" w:color="auto"/>
            <w:bottom w:val="none" w:sz="0" w:space="0" w:color="auto"/>
            <w:right w:val="none" w:sz="0" w:space="0" w:color="auto"/>
          </w:divBdr>
        </w:div>
      </w:divsChild>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179924541">
      <w:bodyDiv w:val="1"/>
      <w:marLeft w:val="0"/>
      <w:marRight w:val="0"/>
      <w:marTop w:val="0"/>
      <w:marBottom w:val="0"/>
      <w:divBdr>
        <w:top w:val="none" w:sz="0" w:space="0" w:color="auto"/>
        <w:left w:val="none" w:sz="0" w:space="0" w:color="auto"/>
        <w:bottom w:val="none" w:sz="0" w:space="0" w:color="auto"/>
        <w:right w:val="none" w:sz="0" w:space="0" w:color="auto"/>
      </w:divBdr>
      <w:divsChild>
        <w:div w:id="1058436560">
          <w:marLeft w:val="1166"/>
          <w:marRight w:val="0"/>
          <w:marTop w:val="77"/>
          <w:marBottom w:val="0"/>
          <w:divBdr>
            <w:top w:val="none" w:sz="0" w:space="0" w:color="auto"/>
            <w:left w:val="none" w:sz="0" w:space="0" w:color="auto"/>
            <w:bottom w:val="none" w:sz="0" w:space="0" w:color="auto"/>
            <w:right w:val="none" w:sz="0" w:space="0" w:color="auto"/>
          </w:divBdr>
        </w:div>
      </w:divsChild>
    </w:div>
    <w:div w:id="1192304909">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241721190">
      <w:bodyDiv w:val="1"/>
      <w:marLeft w:val="0"/>
      <w:marRight w:val="0"/>
      <w:marTop w:val="0"/>
      <w:marBottom w:val="0"/>
      <w:divBdr>
        <w:top w:val="none" w:sz="0" w:space="0" w:color="auto"/>
        <w:left w:val="none" w:sz="0" w:space="0" w:color="auto"/>
        <w:bottom w:val="none" w:sz="0" w:space="0" w:color="auto"/>
        <w:right w:val="none" w:sz="0" w:space="0" w:color="auto"/>
      </w:divBdr>
      <w:divsChild>
        <w:div w:id="276568960">
          <w:marLeft w:val="547"/>
          <w:marRight w:val="0"/>
          <w:marTop w:val="106"/>
          <w:marBottom w:val="0"/>
          <w:divBdr>
            <w:top w:val="none" w:sz="0" w:space="0" w:color="auto"/>
            <w:left w:val="none" w:sz="0" w:space="0" w:color="auto"/>
            <w:bottom w:val="none" w:sz="0" w:space="0" w:color="auto"/>
            <w:right w:val="none" w:sz="0" w:space="0" w:color="auto"/>
          </w:divBdr>
        </w:div>
        <w:div w:id="472020533">
          <w:marLeft w:val="547"/>
          <w:marRight w:val="0"/>
          <w:marTop w:val="106"/>
          <w:marBottom w:val="0"/>
          <w:divBdr>
            <w:top w:val="none" w:sz="0" w:space="0" w:color="auto"/>
            <w:left w:val="none" w:sz="0" w:space="0" w:color="auto"/>
            <w:bottom w:val="none" w:sz="0" w:space="0" w:color="auto"/>
            <w:right w:val="none" w:sz="0" w:space="0" w:color="auto"/>
          </w:divBdr>
        </w:div>
        <w:div w:id="941110587">
          <w:marLeft w:val="547"/>
          <w:marRight w:val="0"/>
          <w:marTop w:val="106"/>
          <w:marBottom w:val="0"/>
          <w:divBdr>
            <w:top w:val="none" w:sz="0" w:space="0" w:color="auto"/>
            <w:left w:val="none" w:sz="0" w:space="0" w:color="auto"/>
            <w:bottom w:val="none" w:sz="0" w:space="0" w:color="auto"/>
            <w:right w:val="none" w:sz="0" w:space="0" w:color="auto"/>
          </w:divBdr>
        </w:div>
        <w:div w:id="1014918893">
          <w:marLeft w:val="1166"/>
          <w:marRight w:val="0"/>
          <w:marTop w:val="91"/>
          <w:marBottom w:val="0"/>
          <w:divBdr>
            <w:top w:val="none" w:sz="0" w:space="0" w:color="auto"/>
            <w:left w:val="none" w:sz="0" w:space="0" w:color="auto"/>
            <w:bottom w:val="none" w:sz="0" w:space="0" w:color="auto"/>
            <w:right w:val="none" w:sz="0" w:space="0" w:color="auto"/>
          </w:divBdr>
        </w:div>
        <w:div w:id="1451587044">
          <w:marLeft w:val="547"/>
          <w:marRight w:val="0"/>
          <w:marTop w:val="106"/>
          <w:marBottom w:val="0"/>
          <w:divBdr>
            <w:top w:val="none" w:sz="0" w:space="0" w:color="auto"/>
            <w:left w:val="none" w:sz="0" w:space="0" w:color="auto"/>
            <w:bottom w:val="none" w:sz="0" w:space="0" w:color="auto"/>
            <w:right w:val="none" w:sz="0" w:space="0" w:color="auto"/>
          </w:divBdr>
        </w:div>
        <w:div w:id="1783960722">
          <w:marLeft w:val="547"/>
          <w:marRight w:val="0"/>
          <w:marTop w:val="106"/>
          <w:marBottom w:val="0"/>
          <w:divBdr>
            <w:top w:val="none" w:sz="0" w:space="0" w:color="auto"/>
            <w:left w:val="none" w:sz="0" w:space="0" w:color="auto"/>
            <w:bottom w:val="none" w:sz="0" w:space="0" w:color="auto"/>
            <w:right w:val="none" w:sz="0" w:space="0" w:color="auto"/>
          </w:divBdr>
        </w:div>
        <w:div w:id="2088570850">
          <w:marLeft w:val="547"/>
          <w:marRight w:val="0"/>
          <w:marTop w:val="106"/>
          <w:marBottom w:val="0"/>
          <w:divBdr>
            <w:top w:val="none" w:sz="0" w:space="0" w:color="auto"/>
            <w:left w:val="none" w:sz="0" w:space="0" w:color="auto"/>
            <w:bottom w:val="none" w:sz="0" w:space="0" w:color="auto"/>
            <w:right w:val="none" w:sz="0" w:space="0" w:color="auto"/>
          </w:divBdr>
        </w:div>
      </w:divsChild>
    </w:div>
    <w:div w:id="1255822717">
      <w:bodyDiv w:val="1"/>
      <w:marLeft w:val="0"/>
      <w:marRight w:val="0"/>
      <w:marTop w:val="0"/>
      <w:marBottom w:val="0"/>
      <w:divBdr>
        <w:top w:val="none" w:sz="0" w:space="0" w:color="auto"/>
        <w:left w:val="none" w:sz="0" w:space="0" w:color="auto"/>
        <w:bottom w:val="none" w:sz="0" w:space="0" w:color="auto"/>
        <w:right w:val="none" w:sz="0" w:space="0" w:color="auto"/>
      </w:divBdr>
    </w:div>
    <w:div w:id="1268733317">
      <w:bodyDiv w:val="1"/>
      <w:marLeft w:val="0"/>
      <w:marRight w:val="0"/>
      <w:marTop w:val="0"/>
      <w:marBottom w:val="0"/>
      <w:divBdr>
        <w:top w:val="none" w:sz="0" w:space="0" w:color="auto"/>
        <w:left w:val="none" w:sz="0" w:space="0" w:color="auto"/>
        <w:bottom w:val="none" w:sz="0" w:space="0" w:color="auto"/>
        <w:right w:val="none" w:sz="0" w:space="0" w:color="auto"/>
      </w:divBdr>
    </w:div>
    <w:div w:id="1286618143">
      <w:bodyDiv w:val="1"/>
      <w:marLeft w:val="0"/>
      <w:marRight w:val="0"/>
      <w:marTop w:val="0"/>
      <w:marBottom w:val="0"/>
      <w:divBdr>
        <w:top w:val="none" w:sz="0" w:space="0" w:color="auto"/>
        <w:left w:val="none" w:sz="0" w:space="0" w:color="auto"/>
        <w:bottom w:val="none" w:sz="0" w:space="0" w:color="auto"/>
        <w:right w:val="none" w:sz="0" w:space="0" w:color="auto"/>
      </w:divBdr>
    </w:div>
    <w:div w:id="1307205687">
      <w:bodyDiv w:val="1"/>
      <w:marLeft w:val="0"/>
      <w:marRight w:val="0"/>
      <w:marTop w:val="0"/>
      <w:marBottom w:val="0"/>
      <w:divBdr>
        <w:top w:val="none" w:sz="0" w:space="0" w:color="auto"/>
        <w:left w:val="none" w:sz="0" w:space="0" w:color="auto"/>
        <w:bottom w:val="none" w:sz="0" w:space="0" w:color="auto"/>
        <w:right w:val="none" w:sz="0" w:space="0" w:color="auto"/>
      </w:divBdr>
      <w:divsChild>
        <w:div w:id="430859519">
          <w:marLeft w:val="1166"/>
          <w:marRight w:val="0"/>
          <w:marTop w:val="67"/>
          <w:marBottom w:val="0"/>
          <w:divBdr>
            <w:top w:val="none" w:sz="0" w:space="0" w:color="auto"/>
            <w:left w:val="none" w:sz="0" w:space="0" w:color="auto"/>
            <w:bottom w:val="none" w:sz="0" w:space="0" w:color="auto"/>
            <w:right w:val="none" w:sz="0" w:space="0" w:color="auto"/>
          </w:divBdr>
        </w:div>
        <w:div w:id="562762449">
          <w:marLeft w:val="547"/>
          <w:marRight w:val="0"/>
          <w:marTop w:val="86"/>
          <w:marBottom w:val="0"/>
          <w:divBdr>
            <w:top w:val="none" w:sz="0" w:space="0" w:color="auto"/>
            <w:left w:val="none" w:sz="0" w:space="0" w:color="auto"/>
            <w:bottom w:val="none" w:sz="0" w:space="0" w:color="auto"/>
            <w:right w:val="none" w:sz="0" w:space="0" w:color="auto"/>
          </w:divBdr>
        </w:div>
        <w:div w:id="1962762315">
          <w:marLeft w:val="1166"/>
          <w:marRight w:val="0"/>
          <w:marTop w:val="77"/>
          <w:marBottom w:val="0"/>
          <w:divBdr>
            <w:top w:val="none" w:sz="0" w:space="0" w:color="auto"/>
            <w:left w:val="none" w:sz="0" w:space="0" w:color="auto"/>
            <w:bottom w:val="none" w:sz="0" w:space="0" w:color="auto"/>
            <w:right w:val="none" w:sz="0" w:space="0" w:color="auto"/>
          </w:divBdr>
        </w:div>
      </w:divsChild>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354501515">
      <w:bodyDiv w:val="1"/>
      <w:marLeft w:val="0"/>
      <w:marRight w:val="0"/>
      <w:marTop w:val="0"/>
      <w:marBottom w:val="0"/>
      <w:divBdr>
        <w:top w:val="none" w:sz="0" w:space="0" w:color="auto"/>
        <w:left w:val="none" w:sz="0" w:space="0" w:color="auto"/>
        <w:bottom w:val="none" w:sz="0" w:space="0" w:color="auto"/>
        <w:right w:val="none" w:sz="0" w:space="0" w:color="auto"/>
      </w:divBdr>
    </w:div>
    <w:div w:id="1362633608">
      <w:bodyDiv w:val="1"/>
      <w:marLeft w:val="0"/>
      <w:marRight w:val="0"/>
      <w:marTop w:val="0"/>
      <w:marBottom w:val="0"/>
      <w:divBdr>
        <w:top w:val="none" w:sz="0" w:space="0" w:color="auto"/>
        <w:left w:val="none" w:sz="0" w:space="0" w:color="auto"/>
        <w:bottom w:val="none" w:sz="0" w:space="0" w:color="auto"/>
        <w:right w:val="none" w:sz="0" w:space="0" w:color="auto"/>
      </w:divBdr>
      <w:divsChild>
        <w:div w:id="382020486">
          <w:marLeft w:val="1080"/>
          <w:marRight w:val="0"/>
          <w:marTop w:val="100"/>
          <w:marBottom w:val="0"/>
          <w:divBdr>
            <w:top w:val="none" w:sz="0" w:space="0" w:color="auto"/>
            <w:left w:val="none" w:sz="0" w:space="0" w:color="auto"/>
            <w:bottom w:val="none" w:sz="0" w:space="0" w:color="auto"/>
            <w:right w:val="none" w:sz="0" w:space="0" w:color="auto"/>
          </w:divBdr>
        </w:div>
        <w:div w:id="1725257600">
          <w:marLeft w:val="1080"/>
          <w:marRight w:val="0"/>
          <w:marTop w:val="100"/>
          <w:marBottom w:val="0"/>
          <w:divBdr>
            <w:top w:val="none" w:sz="0" w:space="0" w:color="auto"/>
            <w:left w:val="none" w:sz="0" w:space="0" w:color="auto"/>
            <w:bottom w:val="none" w:sz="0" w:space="0" w:color="auto"/>
            <w:right w:val="none" w:sz="0" w:space="0" w:color="auto"/>
          </w:divBdr>
        </w:div>
      </w:divsChild>
    </w:div>
    <w:div w:id="139770727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0497893">
      <w:bodyDiv w:val="1"/>
      <w:marLeft w:val="0"/>
      <w:marRight w:val="0"/>
      <w:marTop w:val="0"/>
      <w:marBottom w:val="0"/>
      <w:divBdr>
        <w:top w:val="none" w:sz="0" w:space="0" w:color="auto"/>
        <w:left w:val="none" w:sz="0" w:space="0" w:color="auto"/>
        <w:bottom w:val="none" w:sz="0" w:space="0" w:color="auto"/>
        <w:right w:val="none" w:sz="0" w:space="0" w:color="auto"/>
      </w:divBdr>
    </w:div>
    <w:div w:id="1451900485">
      <w:bodyDiv w:val="1"/>
      <w:marLeft w:val="0"/>
      <w:marRight w:val="0"/>
      <w:marTop w:val="0"/>
      <w:marBottom w:val="0"/>
      <w:divBdr>
        <w:top w:val="none" w:sz="0" w:space="0" w:color="auto"/>
        <w:left w:val="none" w:sz="0" w:space="0" w:color="auto"/>
        <w:bottom w:val="none" w:sz="0" w:space="0" w:color="auto"/>
        <w:right w:val="none" w:sz="0" w:space="0" w:color="auto"/>
      </w:divBdr>
    </w:div>
    <w:div w:id="1489201547">
      <w:bodyDiv w:val="1"/>
      <w:marLeft w:val="0"/>
      <w:marRight w:val="0"/>
      <w:marTop w:val="0"/>
      <w:marBottom w:val="0"/>
      <w:divBdr>
        <w:top w:val="none" w:sz="0" w:space="0" w:color="auto"/>
        <w:left w:val="none" w:sz="0" w:space="0" w:color="auto"/>
        <w:bottom w:val="none" w:sz="0" w:space="0" w:color="auto"/>
        <w:right w:val="none" w:sz="0" w:space="0" w:color="auto"/>
      </w:divBdr>
      <w:divsChild>
        <w:div w:id="40712793">
          <w:marLeft w:val="547"/>
          <w:marRight w:val="0"/>
          <w:marTop w:val="115"/>
          <w:marBottom w:val="0"/>
          <w:divBdr>
            <w:top w:val="none" w:sz="0" w:space="0" w:color="auto"/>
            <w:left w:val="none" w:sz="0" w:space="0" w:color="auto"/>
            <w:bottom w:val="none" w:sz="0" w:space="0" w:color="auto"/>
            <w:right w:val="none" w:sz="0" w:space="0" w:color="auto"/>
          </w:divBdr>
        </w:div>
        <w:div w:id="975987051">
          <w:marLeft w:val="547"/>
          <w:marRight w:val="0"/>
          <w:marTop w:val="115"/>
          <w:marBottom w:val="0"/>
          <w:divBdr>
            <w:top w:val="none" w:sz="0" w:space="0" w:color="auto"/>
            <w:left w:val="none" w:sz="0" w:space="0" w:color="auto"/>
            <w:bottom w:val="none" w:sz="0" w:space="0" w:color="auto"/>
            <w:right w:val="none" w:sz="0" w:space="0" w:color="auto"/>
          </w:divBdr>
        </w:div>
        <w:div w:id="1208839047">
          <w:marLeft w:val="1166"/>
          <w:marRight w:val="0"/>
          <w:marTop w:val="96"/>
          <w:marBottom w:val="0"/>
          <w:divBdr>
            <w:top w:val="none" w:sz="0" w:space="0" w:color="auto"/>
            <w:left w:val="none" w:sz="0" w:space="0" w:color="auto"/>
            <w:bottom w:val="none" w:sz="0" w:space="0" w:color="auto"/>
            <w:right w:val="none" w:sz="0" w:space="0" w:color="auto"/>
          </w:divBdr>
        </w:div>
        <w:div w:id="2020234881">
          <w:marLeft w:val="1166"/>
          <w:marRight w:val="0"/>
          <w:marTop w:val="96"/>
          <w:marBottom w:val="0"/>
          <w:divBdr>
            <w:top w:val="none" w:sz="0" w:space="0" w:color="auto"/>
            <w:left w:val="none" w:sz="0" w:space="0" w:color="auto"/>
            <w:bottom w:val="none" w:sz="0" w:space="0" w:color="auto"/>
            <w:right w:val="none" w:sz="0" w:space="0" w:color="auto"/>
          </w:divBdr>
        </w:div>
      </w:divsChild>
    </w:div>
    <w:div w:id="1507210911">
      <w:bodyDiv w:val="1"/>
      <w:marLeft w:val="0"/>
      <w:marRight w:val="0"/>
      <w:marTop w:val="0"/>
      <w:marBottom w:val="0"/>
      <w:divBdr>
        <w:top w:val="none" w:sz="0" w:space="0" w:color="auto"/>
        <w:left w:val="none" w:sz="0" w:space="0" w:color="auto"/>
        <w:bottom w:val="none" w:sz="0" w:space="0" w:color="auto"/>
        <w:right w:val="none" w:sz="0" w:space="0" w:color="auto"/>
      </w:divBdr>
      <w:divsChild>
        <w:div w:id="1060326562">
          <w:marLeft w:val="1166"/>
          <w:marRight w:val="0"/>
          <w:marTop w:val="77"/>
          <w:marBottom w:val="0"/>
          <w:divBdr>
            <w:top w:val="none" w:sz="0" w:space="0" w:color="auto"/>
            <w:left w:val="none" w:sz="0" w:space="0" w:color="auto"/>
            <w:bottom w:val="none" w:sz="0" w:space="0" w:color="auto"/>
            <w:right w:val="none" w:sz="0" w:space="0" w:color="auto"/>
          </w:divBdr>
        </w:div>
        <w:div w:id="1168473184">
          <w:marLeft w:val="547"/>
          <w:marRight w:val="0"/>
          <w:marTop w:val="86"/>
          <w:marBottom w:val="0"/>
          <w:divBdr>
            <w:top w:val="none" w:sz="0" w:space="0" w:color="auto"/>
            <w:left w:val="none" w:sz="0" w:space="0" w:color="auto"/>
            <w:bottom w:val="none" w:sz="0" w:space="0" w:color="auto"/>
            <w:right w:val="none" w:sz="0" w:space="0" w:color="auto"/>
          </w:divBdr>
        </w:div>
        <w:div w:id="1674454835">
          <w:marLeft w:val="1166"/>
          <w:marRight w:val="0"/>
          <w:marTop w:val="77"/>
          <w:marBottom w:val="0"/>
          <w:divBdr>
            <w:top w:val="none" w:sz="0" w:space="0" w:color="auto"/>
            <w:left w:val="none" w:sz="0" w:space="0" w:color="auto"/>
            <w:bottom w:val="none" w:sz="0" w:space="0" w:color="auto"/>
            <w:right w:val="none" w:sz="0" w:space="0" w:color="auto"/>
          </w:divBdr>
        </w:div>
        <w:div w:id="2093117143">
          <w:marLeft w:val="1800"/>
          <w:marRight w:val="0"/>
          <w:marTop w:val="67"/>
          <w:marBottom w:val="0"/>
          <w:divBdr>
            <w:top w:val="none" w:sz="0" w:space="0" w:color="auto"/>
            <w:left w:val="none" w:sz="0" w:space="0" w:color="auto"/>
            <w:bottom w:val="none" w:sz="0" w:space="0" w:color="auto"/>
            <w:right w:val="none" w:sz="0" w:space="0" w:color="auto"/>
          </w:divBdr>
        </w:div>
        <w:div w:id="2132434041">
          <w:marLeft w:val="547"/>
          <w:marRight w:val="0"/>
          <w:marTop w:val="86"/>
          <w:marBottom w:val="0"/>
          <w:divBdr>
            <w:top w:val="none" w:sz="0" w:space="0" w:color="auto"/>
            <w:left w:val="none" w:sz="0" w:space="0" w:color="auto"/>
            <w:bottom w:val="none" w:sz="0" w:space="0" w:color="auto"/>
            <w:right w:val="none" w:sz="0" w:space="0" w:color="auto"/>
          </w:divBdr>
        </w:div>
      </w:divsChild>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24397136">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34538588">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573348839">
      <w:bodyDiv w:val="1"/>
      <w:marLeft w:val="0"/>
      <w:marRight w:val="0"/>
      <w:marTop w:val="0"/>
      <w:marBottom w:val="0"/>
      <w:divBdr>
        <w:top w:val="none" w:sz="0" w:space="0" w:color="auto"/>
        <w:left w:val="none" w:sz="0" w:space="0" w:color="auto"/>
        <w:bottom w:val="none" w:sz="0" w:space="0" w:color="auto"/>
        <w:right w:val="none" w:sz="0" w:space="0" w:color="auto"/>
      </w:divBdr>
    </w:div>
    <w:div w:id="1584339907">
      <w:bodyDiv w:val="1"/>
      <w:marLeft w:val="0"/>
      <w:marRight w:val="0"/>
      <w:marTop w:val="0"/>
      <w:marBottom w:val="0"/>
      <w:divBdr>
        <w:top w:val="none" w:sz="0" w:space="0" w:color="auto"/>
        <w:left w:val="none" w:sz="0" w:space="0" w:color="auto"/>
        <w:bottom w:val="none" w:sz="0" w:space="0" w:color="auto"/>
        <w:right w:val="none" w:sz="0" w:space="0" w:color="auto"/>
      </w:divBdr>
    </w:div>
    <w:div w:id="1586037372">
      <w:bodyDiv w:val="1"/>
      <w:marLeft w:val="0"/>
      <w:marRight w:val="0"/>
      <w:marTop w:val="0"/>
      <w:marBottom w:val="0"/>
      <w:divBdr>
        <w:top w:val="none" w:sz="0" w:space="0" w:color="auto"/>
        <w:left w:val="none" w:sz="0" w:space="0" w:color="auto"/>
        <w:bottom w:val="none" w:sz="0" w:space="0" w:color="auto"/>
        <w:right w:val="none" w:sz="0" w:space="0" w:color="auto"/>
      </w:divBdr>
      <w:divsChild>
        <w:div w:id="578291721">
          <w:marLeft w:val="360"/>
          <w:marRight w:val="0"/>
          <w:marTop w:val="200"/>
          <w:marBottom w:val="0"/>
          <w:divBdr>
            <w:top w:val="none" w:sz="0" w:space="0" w:color="auto"/>
            <w:left w:val="none" w:sz="0" w:space="0" w:color="auto"/>
            <w:bottom w:val="none" w:sz="0" w:space="0" w:color="auto"/>
            <w:right w:val="none" w:sz="0" w:space="0" w:color="auto"/>
          </w:divBdr>
        </w:div>
        <w:div w:id="1131943262">
          <w:marLeft w:val="1080"/>
          <w:marRight w:val="0"/>
          <w:marTop w:val="100"/>
          <w:marBottom w:val="0"/>
          <w:divBdr>
            <w:top w:val="none" w:sz="0" w:space="0" w:color="auto"/>
            <w:left w:val="none" w:sz="0" w:space="0" w:color="auto"/>
            <w:bottom w:val="none" w:sz="0" w:space="0" w:color="auto"/>
            <w:right w:val="none" w:sz="0" w:space="0" w:color="auto"/>
          </w:divBdr>
        </w:div>
        <w:div w:id="1292709449">
          <w:marLeft w:val="360"/>
          <w:marRight w:val="0"/>
          <w:marTop w:val="200"/>
          <w:marBottom w:val="0"/>
          <w:divBdr>
            <w:top w:val="none" w:sz="0" w:space="0" w:color="auto"/>
            <w:left w:val="none" w:sz="0" w:space="0" w:color="auto"/>
            <w:bottom w:val="none" w:sz="0" w:space="0" w:color="auto"/>
            <w:right w:val="none" w:sz="0" w:space="0" w:color="auto"/>
          </w:divBdr>
        </w:div>
        <w:div w:id="1577664779">
          <w:marLeft w:val="1080"/>
          <w:marRight w:val="0"/>
          <w:marTop w:val="100"/>
          <w:marBottom w:val="0"/>
          <w:divBdr>
            <w:top w:val="none" w:sz="0" w:space="0" w:color="auto"/>
            <w:left w:val="none" w:sz="0" w:space="0" w:color="auto"/>
            <w:bottom w:val="none" w:sz="0" w:space="0" w:color="auto"/>
            <w:right w:val="none" w:sz="0" w:space="0" w:color="auto"/>
          </w:divBdr>
        </w:div>
        <w:div w:id="1952861634">
          <w:marLeft w:val="1080"/>
          <w:marRight w:val="0"/>
          <w:marTop w:val="100"/>
          <w:marBottom w:val="0"/>
          <w:divBdr>
            <w:top w:val="none" w:sz="0" w:space="0" w:color="auto"/>
            <w:left w:val="none" w:sz="0" w:space="0" w:color="auto"/>
            <w:bottom w:val="none" w:sz="0" w:space="0" w:color="auto"/>
            <w:right w:val="none" w:sz="0" w:space="0" w:color="auto"/>
          </w:divBdr>
        </w:div>
        <w:div w:id="2035575115">
          <w:marLeft w:val="360"/>
          <w:marRight w:val="0"/>
          <w:marTop w:val="200"/>
          <w:marBottom w:val="0"/>
          <w:divBdr>
            <w:top w:val="none" w:sz="0" w:space="0" w:color="auto"/>
            <w:left w:val="none" w:sz="0" w:space="0" w:color="auto"/>
            <w:bottom w:val="none" w:sz="0" w:space="0" w:color="auto"/>
            <w:right w:val="none" w:sz="0" w:space="0" w:color="auto"/>
          </w:divBdr>
        </w:div>
      </w:divsChild>
    </w:div>
    <w:div w:id="1589657129">
      <w:bodyDiv w:val="1"/>
      <w:marLeft w:val="0"/>
      <w:marRight w:val="0"/>
      <w:marTop w:val="0"/>
      <w:marBottom w:val="0"/>
      <w:divBdr>
        <w:top w:val="none" w:sz="0" w:space="0" w:color="auto"/>
        <w:left w:val="none" w:sz="0" w:space="0" w:color="auto"/>
        <w:bottom w:val="none" w:sz="0" w:space="0" w:color="auto"/>
        <w:right w:val="none" w:sz="0" w:space="0" w:color="auto"/>
      </w:divBdr>
    </w:div>
    <w:div w:id="1623267676">
      <w:bodyDiv w:val="1"/>
      <w:marLeft w:val="0"/>
      <w:marRight w:val="0"/>
      <w:marTop w:val="0"/>
      <w:marBottom w:val="0"/>
      <w:divBdr>
        <w:top w:val="none" w:sz="0" w:space="0" w:color="auto"/>
        <w:left w:val="none" w:sz="0" w:space="0" w:color="auto"/>
        <w:bottom w:val="none" w:sz="0" w:space="0" w:color="auto"/>
        <w:right w:val="none" w:sz="0" w:space="0" w:color="auto"/>
      </w:divBdr>
    </w:div>
    <w:div w:id="1630429555">
      <w:bodyDiv w:val="1"/>
      <w:marLeft w:val="0"/>
      <w:marRight w:val="0"/>
      <w:marTop w:val="0"/>
      <w:marBottom w:val="0"/>
      <w:divBdr>
        <w:top w:val="none" w:sz="0" w:space="0" w:color="auto"/>
        <w:left w:val="none" w:sz="0" w:space="0" w:color="auto"/>
        <w:bottom w:val="none" w:sz="0" w:space="0" w:color="auto"/>
        <w:right w:val="none" w:sz="0" w:space="0" w:color="auto"/>
      </w:divBdr>
      <w:divsChild>
        <w:div w:id="264847297">
          <w:marLeft w:val="547"/>
          <w:marRight w:val="0"/>
          <w:marTop w:val="106"/>
          <w:marBottom w:val="0"/>
          <w:divBdr>
            <w:top w:val="none" w:sz="0" w:space="0" w:color="auto"/>
            <w:left w:val="none" w:sz="0" w:space="0" w:color="auto"/>
            <w:bottom w:val="none" w:sz="0" w:space="0" w:color="auto"/>
            <w:right w:val="none" w:sz="0" w:space="0" w:color="auto"/>
          </w:divBdr>
        </w:div>
        <w:div w:id="532809975">
          <w:marLeft w:val="547"/>
          <w:marRight w:val="0"/>
          <w:marTop w:val="106"/>
          <w:marBottom w:val="0"/>
          <w:divBdr>
            <w:top w:val="none" w:sz="0" w:space="0" w:color="auto"/>
            <w:left w:val="none" w:sz="0" w:space="0" w:color="auto"/>
            <w:bottom w:val="none" w:sz="0" w:space="0" w:color="auto"/>
            <w:right w:val="none" w:sz="0" w:space="0" w:color="auto"/>
          </w:divBdr>
        </w:div>
        <w:div w:id="696736516">
          <w:marLeft w:val="1166"/>
          <w:marRight w:val="0"/>
          <w:marTop w:val="91"/>
          <w:marBottom w:val="0"/>
          <w:divBdr>
            <w:top w:val="none" w:sz="0" w:space="0" w:color="auto"/>
            <w:left w:val="none" w:sz="0" w:space="0" w:color="auto"/>
            <w:bottom w:val="none" w:sz="0" w:space="0" w:color="auto"/>
            <w:right w:val="none" w:sz="0" w:space="0" w:color="auto"/>
          </w:divBdr>
        </w:div>
        <w:div w:id="838079456">
          <w:marLeft w:val="547"/>
          <w:marRight w:val="0"/>
          <w:marTop w:val="106"/>
          <w:marBottom w:val="0"/>
          <w:divBdr>
            <w:top w:val="none" w:sz="0" w:space="0" w:color="auto"/>
            <w:left w:val="none" w:sz="0" w:space="0" w:color="auto"/>
            <w:bottom w:val="none" w:sz="0" w:space="0" w:color="auto"/>
            <w:right w:val="none" w:sz="0" w:space="0" w:color="auto"/>
          </w:divBdr>
        </w:div>
        <w:div w:id="1316452251">
          <w:marLeft w:val="547"/>
          <w:marRight w:val="0"/>
          <w:marTop w:val="106"/>
          <w:marBottom w:val="0"/>
          <w:divBdr>
            <w:top w:val="none" w:sz="0" w:space="0" w:color="auto"/>
            <w:left w:val="none" w:sz="0" w:space="0" w:color="auto"/>
            <w:bottom w:val="none" w:sz="0" w:space="0" w:color="auto"/>
            <w:right w:val="none" w:sz="0" w:space="0" w:color="auto"/>
          </w:divBdr>
        </w:div>
        <w:div w:id="1886289243">
          <w:marLeft w:val="547"/>
          <w:marRight w:val="0"/>
          <w:marTop w:val="106"/>
          <w:marBottom w:val="0"/>
          <w:divBdr>
            <w:top w:val="none" w:sz="0" w:space="0" w:color="auto"/>
            <w:left w:val="none" w:sz="0" w:space="0" w:color="auto"/>
            <w:bottom w:val="none" w:sz="0" w:space="0" w:color="auto"/>
            <w:right w:val="none" w:sz="0" w:space="0" w:color="auto"/>
          </w:divBdr>
        </w:div>
        <w:div w:id="1961836826">
          <w:marLeft w:val="547"/>
          <w:marRight w:val="0"/>
          <w:marTop w:val="106"/>
          <w:marBottom w:val="0"/>
          <w:divBdr>
            <w:top w:val="none" w:sz="0" w:space="0" w:color="auto"/>
            <w:left w:val="none" w:sz="0" w:space="0" w:color="auto"/>
            <w:bottom w:val="none" w:sz="0" w:space="0" w:color="auto"/>
            <w:right w:val="none" w:sz="0" w:space="0" w:color="auto"/>
          </w:divBdr>
        </w:div>
      </w:divsChild>
    </w:div>
    <w:div w:id="1640498011">
      <w:bodyDiv w:val="1"/>
      <w:marLeft w:val="0"/>
      <w:marRight w:val="0"/>
      <w:marTop w:val="0"/>
      <w:marBottom w:val="0"/>
      <w:divBdr>
        <w:top w:val="none" w:sz="0" w:space="0" w:color="auto"/>
        <w:left w:val="none" w:sz="0" w:space="0" w:color="auto"/>
        <w:bottom w:val="none" w:sz="0" w:space="0" w:color="auto"/>
        <w:right w:val="none" w:sz="0" w:space="0" w:color="auto"/>
      </w:divBdr>
      <w:divsChild>
        <w:div w:id="132258308">
          <w:marLeft w:val="1166"/>
          <w:marRight w:val="0"/>
          <w:marTop w:val="86"/>
          <w:marBottom w:val="0"/>
          <w:divBdr>
            <w:top w:val="none" w:sz="0" w:space="0" w:color="auto"/>
            <w:left w:val="none" w:sz="0" w:space="0" w:color="auto"/>
            <w:bottom w:val="none" w:sz="0" w:space="0" w:color="auto"/>
            <w:right w:val="none" w:sz="0" w:space="0" w:color="auto"/>
          </w:divBdr>
        </w:div>
        <w:div w:id="737019146">
          <w:marLeft w:val="547"/>
          <w:marRight w:val="0"/>
          <w:marTop w:val="106"/>
          <w:marBottom w:val="0"/>
          <w:divBdr>
            <w:top w:val="none" w:sz="0" w:space="0" w:color="auto"/>
            <w:left w:val="none" w:sz="0" w:space="0" w:color="auto"/>
            <w:bottom w:val="none" w:sz="0" w:space="0" w:color="auto"/>
            <w:right w:val="none" w:sz="0" w:space="0" w:color="auto"/>
          </w:divBdr>
        </w:div>
        <w:div w:id="1183132368">
          <w:marLeft w:val="547"/>
          <w:marRight w:val="0"/>
          <w:marTop w:val="96"/>
          <w:marBottom w:val="0"/>
          <w:divBdr>
            <w:top w:val="none" w:sz="0" w:space="0" w:color="auto"/>
            <w:left w:val="none" w:sz="0" w:space="0" w:color="auto"/>
            <w:bottom w:val="none" w:sz="0" w:space="0" w:color="auto"/>
            <w:right w:val="none" w:sz="0" w:space="0" w:color="auto"/>
          </w:divBdr>
        </w:div>
        <w:div w:id="2136678709">
          <w:marLeft w:val="1166"/>
          <w:marRight w:val="0"/>
          <w:marTop w:val="86"/>
          <w:marBottom w:val="0"/>
          <w:divBdr>
            <w:top w:val="none" w:sz="0" w:space="0" w:color="auto"/>
            <w:left w:val="none" w:sz="0" w:space="0" w:color="auto"/>
            <w:bottom w:val="none" w:sz="0" w:space="0" w:color="auto"/>
            <w:right w:val="none" w:sz="0" w:space="0" w:color="auto"/>
          </w:divBdr>
        </w:div>
      </w:divsChild>
    </w:div>
    <w:div w:id="1649627536">
      <w:bodyDiv w:val="1"/>
      <w:marLeft w:val="0"/>
      <w:marRight w:val="0"/>
      <w:marTop w:val="0"/>
      <w:marBottom w:val="0"/>
      <w:divBdr>
        <w:top w:val="none" w:sz="0" w:space="0" w:color="auto"/>
        <w:left w:val="none" w:sz="0" w:space="0" w:color="auto"/>
        <w:bottom w:val="none" w:sz="0" w:space="0" w:color="auto"/>
        <w:right w:val="none" w:sz="0" w:space="0" w:color="auto"/>
      </w:divBdr>
    </w:div>
    <w:div w:id="1650750639">
      <w:bodyDiv w:val="1"/>
      <w:marLeft w:val="0"/>
      <w:marRight w:val="0"/>
      <w:marTop w:val="0"/>
      <w:marBottom w:val="0"/>
      <w:divBdr>
        <w:top w:val="none" w:sz="0" w:space="0" w:color="auto"/>
        <w:left w:val="none" w:sz="0" w:space="0" w:color="auto"/>
        <w:bottom w:val="none" w:sz="0" w:space="0" w:color="auto"/>
        <w:right w:val="none" w:sz="0" w:space="0" w:color="auto"/>
      </w:divBdr>
      <w:divsChild>
        <w:div w:id="287979010">
          <w:marLeft w:val="547"/>
          <w:marRight w:val="0"/>
          <w:marTop w:val="96"/>
          <w:marBottom w:val="0"/>
          <w:divBdr>
            <w:top w:val="none" w:sz="0" w:space="0" w:color="auto"/>
            <w:left w:val="none" w:sz="0" w:space="0" w:color="auto"/>
            <w:bottom w:val="none" w:sz="0" w:space="0" w:color="auto"/>
            <w:right w:val="none" w:sz="0" w:space="0" w:color="auto"/>
          </w:divBdr>
        </w:div>
        <w:div w:id="1503544928">
          <w:marLeft w:val="1166"/>
          <w:marRight w:val="0"/>
          <w:marTop w:val="77"/>
          <w:marBottom w:val="0"/>
          <w:divBdr>
            <w:top w:val="none" w:sz="0" w:space="0" w:color="auto"/>
            <w:left w:val="none" w:sz="0" w:space="0" w:color="auto"/>
            <w:bottom w:val="none" w:sz="0" w:space="0" w:color="auto"/>
            <w:right w:val="none" w:sz="0" w:space="0" w:color="auto"/>
          </w:divBdr>
        </w:div>
        <w:div w:id="1732997394">
          <w:marLeft w:val="1166"/>
          <w:marRight w:val="0"/>
          <w:marTop w:val="77"/>
          <w:marBottom w:val="0"/>
          <w:divBdr>
            <w:top w:val="none" w:sz="0" w:space="0" w:color="auto"/>
            <w:left w:val="none" w:sz="0" w:space="0" w:color="auto"/>
            <w:bottom w:val="none" w:sz="0" w:space="0" w:color="auto"/>
            <w:right w:val="none" w:sz="0" w:space="0" w:color="auto"/>
          </w:divBdr>
        </w:div>
        <w:div w:id="1734694584">
          <w:marLeft w:val="1166"/>
          <w:marRight w:val="0"/>
          <w:marTop w:val="77"/>
          <w:marBottom w:val="0"/>
          <w:divBdr>
            <w:top w:val="none" w:sz="0" w:space="0" w:color="auto"/>
            <w:left w:val="none" w:sz="0" w:space="0" w:color="auto"/>
            <w:bottom w:val="none" w:sz="0" w:space="0" w:color="auto"/>
            <w:right w:val="none" w:sz="0" w:space="0" w:color="auto"/>
          </w:divBdr>
        </w:div>
        <w:div w:id="1873569785">
          <w:marLeft w:val="1166"/>
          <w:marRight w:val="0"/>
          <w:marTop w:val="77"/>
          <w:marBottom w:val="0"/>
          <w:divBdr>
            <w:top w:val="none" w:sz="0" w:space="0" w:color="auto"/>
            <w:left w:val="none" w:sz="0" w:space="0" w:color="auto"/>
            <w:bottom w:val="none" w:sz="0" w:space="0" w:color="auto"/>
            <w:right w:val="none" w:sz="0" w:space="0" w:color="auto"/>
          </w:divBdr>
        </w:div>
        <w:div w:id="1959408716">
          <w:marLeft w:val="1166"/>
          <w:marRight w:val="0"/>
          <w:marTop w:val="77"/>
          <w:marBottom w:val="0"/>
          <w:divBdr>
            <w:top w:val="none" w:sz="0" w:space="0" w:color="auto"/>
            <w:left w:val="none" w:sz="0" w:space="0" w:color="auto"/>
            <w:bottom w:val="none" w:sz="0" w:space="0" w:color="auto"/>
            <w:right w:val="none" w:sz="0" w:space="0" w:color="auto"/>
          </w:divBdr>
        </w:div>
      </w:divsChild>
    </w:div>
    <w:div w:id="1666205310">
      <w:bodyDiv w:val="1"/>
      <w:marLeft w:val="0"/>
      <w:marRight w:val="0"/>
      <w:marTop w:val="0"/>
      <w:marBottom w:val="0"/>
      <w:divBdr>
        <w:top w:val="none" w:sz="0" w:space="0" w:color="auto"/>
        <w:left w:val="none" w:sz="0" w:space="0" w:color="auto"/>
        <w:bottom w:val="none" w:sz="0" w:space="0" w:color="auto"/>
        <w:right w:val="none" w:sz="0" w:space="0" w:color="auto"/>
      </w:divBdr>
      <w:divsChild>
        <w:div w:id="1495603815">
          <w:marLeft w:val="1166"/>
          <w:marRight w:val="0"/>
          <w:marTop w:val="40"/>
          <w:marBottom w:val="0"/>
          <w:divBdr>
            <w:top w:val="none" w:sz="0" w:space="0" w:color="auto"/>
            <w:left w:val="none" w:sz="0" w:space="0" w:color="auto"/>
            <w:bottom w:val="none" w:sz="0" w:space="0" w:color="auto"/>
            <w:right w:val="none" w:sz="0" w:space="0" w:color="auto"/>
          </w:divBdr>
        </w:div>
      </w:divsChild>
    </w:div>
    <w:div w:id="1670212610">
      <w:bodyDiv w:val="1"/>
      <w:marLeft w:val="0"/>
      <w:marRight w:val="0"/>
      <w:marTop w:val="0"/>
      <w:marBottom w:val="0"/>
      <w:divBdr>
        <w:top w:val="none" w:sz="0" w:space="0" w:color="auto"/>
        <w:left w:val="none" w:sz="0" w:space="0" w:color="auto"/>
        <w:bottom w:val="none" w:sz="0" w:space="0" w:color="auto"/>
        <w:right w:val="none" w:sz="0" w:space="0" w:color="auto"/>
      </w:divBdr>
    </w:div>
    <w:div w:id="1685277527">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745564087">
      <w:bodyDiv w:val="1"/>
      <w:marLeft w:val="0"/>
      <w:marRight w:val="0"/>
      <w:marTop w:val="0"/>
      <w:marBottom w:val="0"/>
      <w:divBdr>
        <w:top w:val="none" w:sz="0" w:space="0" w:color="auto"/>
        <w:left w:val="none" w:sz="0" w:space="0" w:color="auto"/>
        <w:bottom w:val="none" w:sz="0" w:space="0" w:color="auto"/>
        <w:right w:val="none" w:sz="0" w:space="0" w:color="auto"/>
      </w:divBdr>
    </w:div>
    <w:div w:id="17765589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819763460">
      <w:bodyDiv w:val="1"/>
      <w:marLeft w:val="0"/>
      <w:marRight w:val="0"/>
      <w:marTop w:val="0"/>
      <w:marBottom w:val="0"/>
      <w:divBdr>
        <w:top w:val="none" w:sz="0" w:space="0" w:color="auto"/>
        <w:left w:val="none" w:sz="0" w:space="0" w:color="auto"/>
        <w:bottom w:val="none" w:sz="0" w:space="0" w:color="auto"/>
        <w:right w:val="none" w:sz="0" w:space="0" w:color="auto"/>
      </w:divBdr>
      <w:divsChild>
        <w:div w:id="33048792">
          <w:marLeft w:val="1080"/>
          <w:marRight w:val="0"/>
          <w:marTop w:val="100"/>
          <w:marBottom w:val="0"/>
          <w:divBdr>
            <w:top w:val="none" w:sz="0" w:space="0" w:color="auto"/>
            <w:left w:val="none" w:sz="0" w:space="0" w:color="auto"/>
            <w:bottom w:val="none" w:sz="0" w:space="0" w:color="auto"/>
            <w:right w:val="none" w:sz="0" w:space="0" w:color="auto"/>
          </w:divBdr>
        </w:div>
        <w:div w:id="162554265">
          <w:marLeft w:val="1080"/>
          <w:marRight w:val="0"/>
          <w:marTop w:val="100"/>
          <w:marBottom w:val="0"/>
          <w:divBdr>
            <w:top w:val="none" w:sz="0" w:space="0" w:color="auto"/>
            <w:left w:val="none" w:sz="0" w:space="0" w:color="auto"/>
            <w:bottom w:val="none" w:sz="0" w:space="0" w:color="auto"/>
            <w:right w:val="none" w:sz="0" w:space="0" w:color="auto"/>
          </w:divBdr>
        </w:div>
        <w:div w:id="349064381">
          <w:marLeft w:val="360"/>
          <w:marRight w:val="0"/>
          <w:marTop w:val="200"/>
          <w:marBottom w:val="0"/>
          <w:divBdr>
            <w:top w:val="none" w:sz="0" w:space="0" w:color="auto"/>
            <w:left w:val="none" w:sz="0" w:space="0" w:color="auto"/>
            <w:bottom w:val="none" w:sz="0" w:space="0" w:color="auto"/>
            <w:right w:val="none" w:sz="0" w:space="0" w:color="auto"/>
          </w:divBdr>
        </w:div>
        <w:div w:id="682443037">
          <w:marLeft w:val="360"/>
          <w:marRight w:val="0"/>
          <w:marTop w:val="200"/>
          <w:marBottom w:val="0"/>
          <w:divBdr>
            <w:top w:val="none" w:sz="0" w:space="0" w:color="auto"/>
            <w:left w:val="none" w:sz="0" w:space="0" w:color="auto"/>
            <w:bottom w:val="none" w:sz="0" w:space="0" w:color="auto"/>
            <w:right w:val="none" w:sz="0" w:space="0" w:color="auto"/>
          </w:divBdr>
        </w:div>
        <w:div w:id="1113986229">
          <w:marLeft w:val="360"/>
          <w:marRight w:val="0"/>
          <w:marTop w:val="200"/>
          <w:marBottom w:val="0"/>
          <w:divBdr>
            <w:top w:val="none" w:sz="0" w:space="0" w:color="auto"/>
            <w:left w:val="none" w:sz="0" w:space="0" w:color="auto"/>
            <w:bottom w:val="none" w:sz="0" w:space="0" w:color="auto"/>
            <w:right w:val="none" w:sz="0" w:space="0" w:color="auto"/>
          </w:divBdr>
        </w:div>
        <w:div w:id="1455252956">
          <w:marLeft w:val="360"/>
          <w:marRight w:val="0"/>
          <w:marTop w:val="200"/>
          <w:marBottom w:val="0"/>
          <w:divBdr>
            <w:top w:val="none" w:sz="0" w:space="0" w:color="auto"/>
            <w:left w:val="none" w:sz="0" w:space="0" w:color="auto"/>
            <w:bottom w:val="none" w:sz="0" w:space="0" w:color="auto"/>
            <w:right w:val="none" w:sz="0" w:space="0" w:color="auto"/>
          </w:divBdr>
        </w:div>
        <w:div w:id="1552040844">
          <w:marLeft w:val="1080"/>
          <w:marRight w:val="0"/>
          <w:marTop w:val="100"/>
          <w:marBottom w:val="0"/>
          <w:divBdr>
            <w:top w:val="none" w:sz="0" w:space="0" w:color="auto"/>
            <w:left w:val="none" w:sz="0" w:space="0" w:color="auto"/>
            <w:bottom w:val="none" w:sz="0" w:space="0" w:color="auto"/>
            <w:right w:val="none" w:sz="0" w:space="0" w:color="auto"/>
          </w:divBdr>
        </w:div>
        <w:div w:id="1588808538">
          <w:marLeft w:val="1080"/>
          <w:marRight w:val="0"/>
          <w:marTop w:val="100"/>
          <w:marBottom w:val="0"/>
          <w:divBdr>
            <w:top w:val="none" w:sz="0" w:space="0" w:color="auto"/>
            <w:left w:val="none" w:sz="0" w:space="0" w:color="auto"/>
            <w:bottom w:val="none" w:sz="0" w:space="0" w:color="auto"/>
            <w:right w:val="none" w:sz="0" w:space="0" w:color="auto"/>
          </w:divBdr>
        </w:div>
        <w:div w:id="1597978721">
          <w:marLeft w:val="1080"/>
          <w:marRight w:val="0"/>
          <w:marTop w:val="100"/>
          <w:marBottom w:val="0"/>
          <w:divBdr>
            <w:top w:val="none" w:sz="0" w:space="0" w:color="auto"/>
            <w:left w:val="none" w:sz="0" w:space="0" w:color="auto"/>
            <w:bottom w:val="none" w:sz="0" w:space="0" w:color="auto"/>
            <w:right w:val="none" w:sz="0" w:space="0" w:color="auto"/>
          </w:divBdr>
        </w:div>
        <w:div w:id="1646814221">
          <w:marLeft w:val="1080"/>
          <w:marRight w:val="0"/>
          <w:marTop w:val="100"/>
          <w:marBottom w:val="0"/>
          <w:divBdr>
            <w:top w:val="none" w:sz="0" w:space="0" w:color="auto"/>
            <w:left w:val="none" w:sz="0" w:space="0" w:color="auto"/>
            <w:bottom w:val="none" w:sz="0" w:space="0" w:color="auto"/>
            <w:right w:val="none" w:sz="0" w:space="0" w:color="auto"/>
          </w:divBdr>
        </w:div>
        <w:div w:id="2101483814">
          <w:marLeft w:val="1080"/>
          <w:marRight w:val="0"/>
          <w:marTop w:val="100"/>
          <w:marBottom w:val="0"/>
          <w:divBdr>
            <w:top w:val="none" w:sz="0" w:space="0" w:color="auto"/>
            <w:left w:val="none" w:sz="0" w:space="0" w:color="auto"/>
            <w:bottom w:val="none" w:sz="0" w:space="0" w:color="auto"/>
            <w:right w:val="none" w:sz="0" w:space="0" w:color="auto"/>
          </w:divBdr>
        </w:div>
      </w:divsChild>
    </w:div>
    <w:div w:id="1820922832">
      <w:bodyDiv w:val="1"/>
      <w:marLeft w:val="0"/>
      <w:marRight w:val="0"/>
      <w:marTop w:val="0"/>
      <w:marBottom w:val="0"/>
      <w:divBdr>
        <w:top w:val="none" w:sz="0" w:space="0" w:color="auto"/>
        <w:left w:val="none" w:sz="0" w:space="0" w:color="auto"/>
        <w:bottom w:val="none" w:sz="0" w:space="0" w:color="auto"/>
        <w:right w:val="none" w:sz="0" w:space="0" w:color="auto"/>
      </w:divBdr>
      <w:divsChild>
        <w:div w:id="772672240">
          <w:marLeft w:val="1166"/>
          <w:marRight w:val="0"/>
          <w:marTop w:val="77"/>
          <w:marBottom w:val="0"/>
          <w:divBdr>
            <w:top w:val="none" w:sz="0" w:space="0" w:color="auto"/>
            <w:left w:val="none" w:sz="0" w:space="0" w:color="auto"/>
            <w:bottom w:val="none" w:sz="0" w:space="0" w:color="auto"/>
            <w:right w:val="none" w:sz="0" w:space="0" w:color="auto"/>
          </w:divBdr>
        </w:div>
        <w:div w:id="777793730">
          <w:marLeft w:val="547"/>
          <w:marRight w:val="0"/>
          <w:marTop w:val="86"/>
          <w:marBottom w:val="0"/>
          <w:divBdr>
            <w:top w:val="none" w:sz="0" w:space="0" w:color="auto"/>
            <w:left w:val="none" w:sz="0" w:space="0" w:color="auto"/>
            <w:bottom w:val="none" w:sz="0" w:space="0" w:color="auto"/>
            <w:right w:val="none" w:sz="0" w:space="0" w:color="auto"/>
          </w:divBdr>
        </w:div>
        <w:div w:id="1131166315">
          <w:marLeft w:val="1800"/>
          <w:marRight w:val="0"/>
          <w:marTop w:val="67"/>
          <w:marBottom w:val="0"/>
          <w:divBdr>
            <w:top w:val="none" w:sz="0" w:space="0" w:color="auto"/>
            <w:left w:val="none" w:sz="0" w:space="0" w:color="auto"/>
            <w:bottom w:val="none" w:sz="0" w:space="0" w:color="auto"/>
            <w:right w:val="none" w:sz="0" w:space="0" w:color="auto"/>
          </w:divBdr>
        </w:div>
        <w:div w:id="1430614078">
          <w:marLeft w:val="547"/>
          <w:marRight w:val="0"/>
          <w:marTop w:val="86"/>
          <w:marBottom w:val="0"/>
          <w:divBdr>
            <w:top w:val="none" w:sz="0" w:space="0" w:color="auto"/>
            <w:left w:val="none" w:sz="0" w:space="0" w:color="auto"/>
            <w:bottom w:val="none" w:sz="0" w:space="0" w:color="auto"/>
            <w:right w:val="none" w:sz="0" w:space="0" w:color="auto"/>
          </w:divBdr>
        </w:div>
        <w:div w:id="1708723764">
          <w:marLeft w:val="1166"/>
          <w:marRight w:val="0"/>
          <w:marTop w:val="77"/>
          <w:marBottom w:val="0"/>
          <w:divBdr>
            <w:top w:val="none" w:sz="0" w:space="0" w:color="auto"/>
            <w:left w:val="none" w:sz="0" w:space="0" w:color="auto"/>
            <w:bottom w:val="none" w:sz="0" w:space="0" w:color="auto"/>
            <w:right w:val="none" w:sz="0" w:space="0" w:color="auto"/>
          </w:divBdr>
        </w:div>
      </w:divsChild>
    </w:div>
    <w:div w:id="1864902532">
      <w:bodyDiv w:val="1"/>
      <w:marLeft w:val="0"/>
      <w:marRight w:val="0"/>
      <w:marTop w:val="0"/>
      <w:marBottom w:val="0"/>
      <w:divBdr>
        <w:top w:val="none" w:sz="0" w:space="0" w:color="auto"/>
        <w:left w:val="none" w:sz="0" w:space="0" w:color="auto"/>
        <w:bottom w:val="none" w:sz="0" w:space="0" w:color="auto"/>
        <w:right w:val="none" w:sz="0" w:space="0" w:color="auto"/>
      </w:divBdr>
      <w:divsChild>
        <w:div w:id="11958751">
          <w:marLeft w:val="1166"/>
          <w:marRight w:val="0"/>
          <w:marTop w:val="115"/>
          <w:marBottom w:val="0"/>
          <w:divBdr>
            <w:top w:val="none" w:sz="0" w:space="0" w:color="auto"/>
            <w:left w:val="none" w:sz="0" w:space="0" w:color="auto"/>
            <w:bottom w:val="none" w:sz="0" w:space="0" w:color="auto"/>
            <w:right w:val="none" w:sz="0" w:space="0" w:color="auto"/>
          </w:divBdr>
        </w:div>
        <w:div w:id="654336293">
          <w:marLeft w:val="1166"/>
          <w:marRight w:val="0"/>
          <w:marTop w:val="115"/>
          <w:marBottom w:val="0"/>
          <w:divBdr>
            <w:top w:val="none" w:sz="0" w:space="0" w:color="auto"/>
            <w:left w:val="none" w:sz="0" w:space="0" w:color="auto"/>
            <w:bottom w:val="none" w:sz="0" w:space="0" w:color="auto"/>
            <w:right w:val="none" w:sz="0" w:space="0" w:color="auto"/>
          </w:divBdr>
        </w:div>
        <w:div w:id="675113396">
          <w:marLeft w:val="1166"/>
          <w:marRight w:val="0"/>
          <w:marTop w:val="115"/>
          <w:marBottom w:val="0"/>
          <w:divBdr>
            <w:top w:val="none" w:sz="0" w:space="0" w:color="auto"/>
            <w:left w:val="none" w:sz="0" w:space="0" w:color="auto"/>
            <w:bottom w:val="none" w:sz="0" w:space="0" w:color="auto"/>
            <w:right w:val="none" w:sz="0" w:space="0" w:color="auto"/>
          </w:divBdr>
        </w:div>
        <w:div w:id="1473407870">
          <w:marLeft w:val="1800"/>
          <w:marRight w:val="0"/>
          <w:marTop w:val="96"/>
          <w:marBottom w:val="0"/>
          <w:divBdr>
            <w:top w:val="none" w:sz="0" w:space="0" w:color="auto"/>
            <w:left w:val="none" w:sz="0" w:space="0" w:color="auto"/>
            <w:bottom w:val="none" w:sz="0" w:space="0" w:color="auto"/>
            <w:right w:val="none" w:sz="0" w:space="0" w:color="auto"/>
          </w:divBdr>
        </w:div>
        <w:div w:id="1642807690">
          <w:marLeft w:val="1800"/>
          <w:marRight w:val="0"/>
          <w:marTop w:val="96"/>
          <w:marBottom w:val="0"/>
          <w:divBdr>
            <w:top w:val="none" w:sz="0" w:space="0" w:color="auto"/>
            <w:left w:val="none" w:sz="0" w:space="0" w:color="auto"/>
            <w:bottom w:val="none" w:sz="0" w:space="0" w:color="auto"/>
            <w:right w:val="none" w:sz="0" w:space="0" w:color="auto"/>
          </w:divBdr>
        </w:div>
        <w:div w:id="1658219205">
          <w:marLeft w:val="547"/>
          <w:marRight w:val="0"/>
          <w:marTop w:val="130"/>
          <w:marBottom w:val="0"/>
          <w:divBdr>
            <w:top w:val="none" w:sz="0" w:space="0" w:color="auto"/>
            <w:left w:val="none" w:sz="0" w:space="0" w:color="auto"/>
            <w:bottom w:val="none" w:sz="0" w:space="0" w:color="auto"/>
            <w:right w:val="none" w:sz="0" w:space="0" w:color="auto"/>
          </w:divBdr>
        </w:div>
        <w:div w:id="1765568435">
          <w:marLeft w:val="1800"/>
          <w:marRight w:val="0"/>
          <w:marTop w:val="96"/>
          <w:marBottom w:val="0"/>
          <w:divBdr>
            <w:top w:val="none" w:sz="0" w:space="0" w:color="auto"/>
            <w:left w:val="none" w:sz="0" w:space="0" w:color="auto"/>
            <w:bottom w:val="none" w:sz="0" w:space="0" w:color="auto"/>
            <w:right w:val="none" w:sz="0" w:space="0" w:color="auto"/>
          </w:divBdr>
        </w:div>
        <w:div w:id="1851991115">
          <w:marLeft w:val="1800"/>
          <w:marRight w:val="0"/>
          <w:marTop w:val="96"/>
          <w:marBottom w:val="0"/>
          <w:divBdr>
            <w:top w:val="none" w:sz="0" w:space="0" w:color="auto"/>
            <w:left w:val="none" w:sz="0" w:space="0" w:color="auto"/>
            <w:bottom w:val="none" w:sz="0" w:space="0" w:color="auto"/>
            <w:right w:val="none" w:sz="0" w:space="0" w:color="auto"/>
          </w:divBdr>
        </w:div>
      </w:divsChild>
    </w:div>
    <w:div w:id="1900314362">
      <w:bodyDiv w:val="1"/>
      <w:marLeft w:val="0"/>
      <w:marRight w:val="0"/>
      <w:marTop w:val="0"/>
      <w:marBottom w:val="0"/>
      <w:divBdr>
        <w:top w:val="none" w:sz="0" w:space="0" w:color="auto"/>
        <w:left w:val="none" w:sz="0" w:space="0" w:color="auto"/>
        <w:bottom w:val="none" w:sz="0" w:space="0" w:color="auto"/>
        <w:right w:val="none" w:sz="0" w:space="0" w:color="auto"/>
      </w:divBdr>
      <w:divsChild>
        <w:div w:id="331688781">
          <w:marLeft w:val="1800"/>
          <w:marRight w:val="0"/>
          <w:marTop w:val="96"/>
          <w:marBottom w:val="0"/>
          <w:divBdr>
            <w:top w:val="none" w:sz="0" w:space="0" w:color="auto"/>
            <w:left w:val="none" w:sz="0" w:space="0" w:color="auto"/>
            <w:bottom w:val="none" w:sz="0" w:space="0" w:color="auto"/>
            <w:right w:val="none" w:sz="0" w:space="0" w:color="auto"/>
          </w:divBdr>
        </w:div>
        <w:div w:id="468400892">
          <w:marLeft w:val="547"/>
          <w:marRight w:val="0"/>
          <w:marTop w:val="130"/>
          <w:marBottom w:val="0"/>
          <w:divBdr>
            <w:top w:val="none" w:sz="0" w:space="0" w:color="auto"/>
            <w:left w:val="none" w:sz="0" w:space="0" w:color="auto"/>
            <w:bottom w:val="none" w:sz="0" w:space="0" w:color="auto"/>
            <w:right w:val="none" w:sz="0" w:space="0" w:color="auto"/>
          </w:divBdr>
        </w:div>
        <w:div w:id="665089057">
          <w:marLeft w:val="1800"/>
          <w:marRight w:val="0"/>
          <w:marTop w:val="96"/>
          <w:marBottom w:val="0"/>
          <w:divBdr>
            <w:top w:val="none" w:sz="0" w:space="0" w:color="auto"/>
            <w:left w:val="none" w:sz="0" w:space="0" w:color="auto"/>
            <w:bottom w:val="none" w:sz="0" w:space="0" w:color="auto"/>
            <w:right w:val="none" w:sz="0" w:space="0" w:color="auto"/>
          </w:divBdr>
        </w:div>
        <w:div w:id="935140108">
          <w:marLeft w:val="1166"/>
          <w:marRight w:val="0"/>
          <w:marTop w:val="115"/>
          <w:marBottom w:val="0"/>
          <w:divBdr>
            <w:top w:val="none" w:sz="0" w:space="0" w:color="auto"/>
            <w:left w:val="none" w:sz="0" w:space="0" w:color="auto"/>
            <w:bottom w:val="none" w:sz="0" w:space="0" w:color="auto"/>
            <w:right w:val="none" w:sz="0" w:space="0" w:color="auto"/>
          </w:divBdr>
        </w:div>
        <w:div w:id="1032413397">
          <w:marLeft w:val="1800"/>
          <w:marRight w:val="0"/>
          <w:marTop w:val="96"/>
          <w:marBottom w:val="0"/>
          <w:divBdr>
            <w:top w:val="none" w:sz="0" w:space="0" w:color="auto"/>
            <w:left w:val="none" w:sz="0" w:space="0" w:color="auto"/>
            <w:bottom w:val="none" w:sz="0" w:space="0" w:color="auto"/>
            <w:right w:val="none" w:sz="0" w:space="0" w:color="auto"/>
          </w:divBdr>
        </w:div>
        <w:div w:id="1299456166">
          <w:marLeft w:val="1800"/>
          <w:marRight w:val="0"/>
          <w:marTop w:val="96"/>
          <w:marBottom w:val="0"/>
          <w:divBdr>
            <w:top w:val="none" w:sz="0" w:space="0" w:color="auto"/>
            <w:left w:val="none" w:sz="0" w:space="0" w:color="auto"/>
            <w:bottom w:val="none" w:sz="0" w:space="0" w:color="auto"/>
            <w:right w:val="none" w:sz="0" w:space="0" w:color="auto"/>
          </w:divBdr>
        </w:div>
        <w:div w:id="1328438642">
          <w:marLeft w:val="1166"/>
          <w:marRight w:val="0"/>
          <w:marTop w:val="115"/>
          <w:marBottom w:val="0"/>
          <w:divBdr>
            <w:top w:val="none" w:sz="0" w:space="0" w:color="auto"/>
            <w:left w:val="none" w:sz="0" w:space="0" w:color="auto"/>
            <w:bottom w:val="none" w:sz="0" w:space="0" w:color="auto"/>
            <w:right w:val="none" w:sz="0" w:space="0" w:color="auto"/>
          </w:divBdr>
        </w:div>
        <w:div w:id="1932155206">
          <w:marLeft w:val="1166"/>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92709787">
      <w:bodyDiv w:val="1"/>
      <w:marLeft w:val="0"/>
      <w:marRight w:val="0"/>
      <w:marTop w:val="0"/>
      <w:marBottom w:val="0"/>
      <w:divBdr>
        <w:top w:val="none" w:sz="0" w:space="0" w:color="auto"/>
        <w:left w:val="none" w:sz="0" w:space="0" w:color="auto"/>
        <w:bottom w:val="none" w:sz="0" w:space="0" w:color="auto"/>
        <w:right w:val="none" w:sz="0" w:space="0" w:color="auto"/>
      </w:divBdr>
    </w:div>
    <w:div w:id="1993364214">
      <w:bodyDiv w:val="1"/>
      <w:marLeft w:val="0"/>
      <w:marRight w:val="0"/>
      <w:marTop w:val="0"/>
      <w:marBottom w:val="0"/>
      <w:divBdr>
        <w:top w:val="none" w:sz="0" w:space="0" w:color="auto"/>
        <w:left w:val="none" w:sz="0" w:space="0" w:color="auto"/>
        <w:bottom w:val="none" w:sz="0" w:space="0" w:color="auto"/>
        <w:right w:val="none" w:sz="0" w:space="0" w:color="auto"/>
      </w:divBdr>
      <w:divsChild>
        <w:div w:id="59640347">
          <w:marLeft w:val="1080"/>
          <w:marRight w:val="0"/>
          <w:marTop w:val="100"/>
          <w:marBottom w:val="0"/>
          <w:divBdr>
            <w:top w:val="none" w:sz="0" w:space="0" w:color="auto"/>
            <w:left w:val="none" w:sz="0" w:space="0" w:color="auto"/>
            <w:bottom w:val="none" w:sz="0" w:space="0" w:color="auto"/>
            <w:right w:val="none" w:sz="0" w:space="0" w:color="auto"/>
          </w:divBdr>
        </w:div>
        <w:div w:id="134101470">
          <w:marLeft w:val="360"/>
          <w:marRight w:val="0"/>
          <w:marTop w:val="200"/>
          <w:marBottom w:val="0"/>
          <w:divBdr>
            <w:top w:val="none" w:sz="0" w:space="0" w:color="auto"/>
            <w:left w:val="none" w:sz="0" w:space="0" w:color="auto"/>
            <w:bottom w:val="none" w:sz="0" w:space="0" w:color="auto"/>
            <w:right w:val="none" w:sz="0" w:space="0" w:color="auto"/>
          </w:divBdr>
        </w:div>
        <w:div w:id="274531248">
          <w:marLeft w:val="1080"/>
          <w:marRight w:val="0"/>
          <w:marTop w:val="100"/>
          <w:marBottom w:val="0"/>
          <w:divBdr>
            <w:top w:val="none" w:sz="0" w:space="0" w:color="auto"/>
            <w:left w:val="none" w:sz="0" w:space="0" w:color="auto"/>
            <w:bottom w:val="none" w:sz="0" w:space="0" w:color="auto"/>
            <w:right w:val="none" w:sz="0" w:space="0" w:color="auto"/>
          </w:divBdr>
        </w:div>
        <w:div w:id="278999395">
          <w:marLeft w:val="1080"/>
          <w:marRight w:val="0"/>
          <w:marTop w:val="100"/>
          <w:marBottom w:val="0"/>
          <w:divBdr>
            <w:top w:val="none" w:sz="0" w:space="0" w:color="auto"/>
            <w:left w:val="none" w:sz="0" w:space="0" w:color="auto"/>
            <w:bottom w:val="none" w:sz="0" w:space="0" w:color="auto"/>
            <w:right w:val="none" w:sz="0" w:space="0" w:color="auto"/>
          </w:divBdr>
        </w:div>
        <w:div w:id="851797902">
          <w:marLeft w:val="360"/>
          <w:marRight w:val="0"/>
          <w:marTop w:val="200"/>
          <w:marBottom w:val="0"/>
          <w:divBdr>
            <w:top w:val="none" w:sz="0" w:space="0" w:color="auto"/>
            <w:left w:val="none" w:sz="0" w:space="0" w:color="auto"/>
            <w:bottom w:val="none" w:sz="0" w:space="0" w:color="auto"/>
            <w:right w:val="none" w:sz="0" w:space="0" w:color="auto"/>
          </w:divBdr>
        </w:div>
        <w:div w:id="1243956245">
          <w:marLeft w:val="1080"/>
          <w:marRight w:val="0"/>
          <w:marTop w:val="100"/>
          <w:marBottom w:val="0"/>
          <w:divBdr>
            <w:top w:val="none" w:sz="0" w:space="0" w:color="auto"/>
            <w:left w:val="none" w:sz="0" w:space="0" w:color="auto"/>
            <w:bottom w:val="none" w:sz="0" w:space="0" w:color="auto"/>
            <w:right w:val="none" w:sz="0" w:space="0" w:color="auto"/>
          </w:divBdr>
        </w:div>
        <w:div w:id="1904020887">
          <w:marLeft w:val="1080"/>
          <w:marRight w:val="0"/>
          <w:marTop w:val="100"/>
          <w:marBottom w:val="0"/>
          <w:divBdr>
            <w:top w:val="none" w:sz="0" w:space="0" w:color="auto"/>
            <w:left w:val="none" w:sz="0" w:space="0" w:color="auto"/>
            <w:bottom w:val="none" w:sz="0" w:space="0" w:color="auto"/>
            <w:right w:val="none" w:sz="0" w:space="0" w:color="auto"/>
          </w:divBdr>
        </w:div>
        <w:div w:id="1928031109">
          <w:marLeft w:val="360"/>
          <w:marRight w:val="0"/>
          <w:marTop w:val="200"/>
          <w:marBottom w:val="0"/>
          <w:divBdr>
            <w:top w:val="none" w:sz="0" w:space="0" w:color="auto"/>
            <w:left w:val="none" w:sz="0" w:space="0" w:color="auto"/>
            <w:bottom w:val="none" w:sz="0" w:space="0" w:color="auto"/>
            <w:right w:val="none" w:sz="0" w:space="0" w:color="auto"/>
          </w:divBdr>
        </w:div>
        <w:div w:id="2041199718">
          <w:marLeft w:val="1080"/>
          <w:marRight w:val="0"/>
          <w:marTop w:val="100"/>
          <w:marBottom w:val="0"/>
          <w:divBdr>
            <w:top w:val="none" w:sz="0" w:space="0" w:color="auto"/>
            <w:left w:val="none" w:sz="0" w:space="0" w:color="auto"/>
            <w:bottom w:val="none" w:sz="0" w:space="0" w:color="auto"/>
            <w:right w:val="none" w:sz="0" w:space="0" w:color="auto"/>
          </w:divBdr>
        </w:div>
        <w:div w:id="2057703976">
          <w:marLeft w:val="1080"/>
          <w:marRight w:val="0"/>
          <w:marTop w:val="100"/>
          <w:marBottom w:val="0"/>
          <w:divBdr>
            <w:top w:val="none" w:sz="0" w:space="0" w:color="auto"/>
            <w:left w:val="none" w:sz="0" w:space="0" w:color="auto"/>
            <w:bottom w:val="none" w:sz="0" w:space="0" w:color="auto"/>
            <w:right w:val="none" w:sz="0" w:space="0" w:color="auto"/>
          </w:divBdr>
        </w:div>
        <w:div w:id="2116053867">
          <w:marLeft w:val="360"/>
          <w:marRight w:val="0"/>
          <w:marTop w:val="200"/>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 w:id="2075740597">
      <w:bodyDiv w:val="1"/>
      <w:marLeft w:val="0"/>
      <w:marRight w:val="0"/>
      <w:marTop w:val="0"/>
      <w:marBottom w:val="0"/>
      <w:divBdr>
        <w:top w:val="none" w:sz="0" w:space="0" w:color="auto"/>
        <w:left w:val="none" w:sz="0" w:space="0" w:color="auto"/>
        <w:bottom w:val="none" w:sz="0" w:space="0" w:color="auto"/>
        <w:right w:val="none" w:sz="0" w:space="0" w:color="auto"/>
      </w:divBdr>
    </w:div>
    <w:div w:id="211959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9CF96-94F6-4294-8E98-62AA5ABBF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1750</TotalTime>
  <Pages>5</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Nurminen, Riikka (Nokia - FI/Espoo)</cp:lastModifiedBy>
  <cp:revision>19</cp:revision>
  <cp:lastPrinted>2012-06-07T10:31:00Z</cp:lastPrinted>
  <dcterms:created xsi:type="dcterms:W3CDTF">2017-08-09T05:35:00Z</dcterms:created>
  <dcterms:modified xsi:type="dcterms:W3CDTF">2017-08-11T18:32:00Z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y fmtid="{D5CDD505-2E9C-101B-9397-08002B2CF9AE}" pid="4" name="_NewReviewCycle">
    <vt:lpwstr/>
  </property>
</Properties>
</file>